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</w:p>
    <w:p>
      <w:pPr>
        <w:pStyle w:val="BodyText"/>
        <w:spacing w:line="20" w:lineRule="exact"/>
        <w:ind w:left="38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Heading1"/>
        <w:ind w:left="3347" w:right="3065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398" w:right="105" w:firstLine="2126"/>
        <w:jc w:val="both"/>
      </w:pP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prédio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abrigue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Almoxarifado do Departamento de Material e Patrimônio – DMP, solicitado em Ofício n.</w:t>
      </w:r>
      <w:r>
        <w:rPr>
          <w:spacing w:val="1"/>
        </w:rPr>
        <w:t> </w:t>
      </w:r>
      <w:r>
        <w:rPr/>
        <w:t>53/2023,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12/09/2023,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0056044-56.2023.8.11.0000,</w:t>
      </w:r>
      <w:r>
        <w:rPr>
          <w:spacing w:val="1"/>
        </w:rPr>
        <w:t> </w:t>
      </w:r>
      <w:r>
        <w:rPr/>
        <w:t>subscrito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Coordenadora Administrativa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 de Justiça.</w:t>
      </w:r>
    </w:p>
    <w:p>
      <w:pPr>
        <w:pStyle w:val="BodyText"/>
        <w:spacing w:line="360" w:lineRule="auto"/>
        <w:ind w:left="398" w:right="103" w:firstLine="2126"/>
        <w:jc w:val="both"/>
      </w:pPr>
      <w:r>
        <w:rPr/>
        <w:t>Conforme relatado no referido Ofício, os serviços de armazenagem e</w:t>
      </w:r>
      <w:r>
        <w:rPr>
          <w:spacing w:val="1"/>
        </w:rPr>
        <w:t> </w:t>
      </w:r>
      <w:r>
        <w:rPr/>
        <w:t>logística de bens permanentes e de consumo gerenciados pelo Departamento de Material</w:t>
      </w:r>
      <w:r>
        <w:rPr>
          <w:spacing w:val="1"/>
        </w:rPr>
        <w:t> </w:t>
      </w:r>
      <w:r>
        <w:rPr/>
        <w:t>e Patrimônio do Tribunal de Justiça e executados pela Empresa Brasileira de Correios e</w:t>
      </w:r>
      <w:r>
        <w:rPr>
          <w:spacing w:val="1"/>
        </w:rPr>
        <w:t> </w:t>
      </w:r>
      <w:r>
        <w:rPr/>
        <w:t>Telégrafos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EBCT,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39/2019</w:t>
      </w:r>
      <w:r>
        <w:rPr>
          <w:spacing w:val="1"/>
        </w:rPr>
        <w:t> </w:t>
      </w:r>
      <w:r>
        <w:rPr/>
        <w:t>(CIA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0015789-</w:t>
      </w:r>
      <w:r>
        <w:rPr>
          <w:spacing w:val="1"/>
        </w:rPr>
        <w:t> </w:t>
      </w:r>
      <w:r>
        <w:rPr/>
        <w:t>95.2019.8.11.0000), são operacionalizados no Almoxarifado do Departamento de Material</w:t>
      </w:r>
      <w:r>
        <w:rPr>
          <w:spacing w:val="1"/>
        </w:rPr>
        <w:t> </w:t>
      </w:r>
      <w:r>
        <w:rPr/>
        <w:t>e Patrimônio, atualmente instalado no imóvel locado pela EBCT para essa finalidade, num</w:t>
      </w:r>
      <w:r>
        <w:rPr>
          <w:spacing w:val="-64"/>
        </w:rPr>
        <w:t> </w:t>
      </w:r>
      <w:r>
        <w:rPr/>
        <w:t>galpão de alvenaria com área aproximada de 2.000 m², situado no Distrito Industrial, em</w:t>
      </w:r>
      <w:r>
        <w:rPr>
          <w:spacing w:val="1"/>
        </w:rPr>
        <w:t> </w:t>
      </w:r>
      <w:r>
        <w:rPr/>
        <w:t>Cuiabá, utilizado para o recebimento, cadastramento, tombamento e demais etapas de</w:t>
      </w:r>
      <w:r>
        <w:rPr>
          <w:spacing w:val="1"/>
        </w:rPr>
        <w:t> </w:t>
      </w:r>
      <w:r>
        <w:rPr/>
        <w:t>armazenagem e distribuição de materiais permanentes e de consumo adquiridos pelo</w:t>
      </w:r>
      <w:r>
        <w:rPr>
          <w:spacing w:val="1"/>
        </w:rPr>
        <w:t> </w:t>
      </w:r>
      <w:r>
        <w:rPr/>
        <w:t>PJMT, bem como para o recebimento e guarda temporária de bens inservíveis e de</w:t>
      </w:r>
      <w:r>
        <w:rPr>
          <w:spacing w:val="1"/>
        </w:rPr>
        <w:t> </w:t>
      </w:r>
      <w:r>
        <w:rPr/>
        <w:t>resíduos destinados ao descarte sustentável, encaminhados através da logística de rota</w:t>
      </w:r>
      <w:r>
        <w:rPr>
          <w:spacing w:val="1"/>
        </w:rPr>
        <w:t> </w:t>
      </w:r>
      <w:r>
        <w:rPr/>
        <w:t>reversa.</w:t>
      </w:r>
    </w:p>
    <w:p>
      <w:pPr>
        <w:pStyle w:val="BodyText"/>
        <w:spacing w:line="360" w:lineRule="auto"/>
        <w:ind w:left="398" w:right="105" w:firstLine="2126"/>
        <w:jc w:val="both"/>
      </w:pPr>
      <w:r>
        <w:rPr/>
        <w:t>Com a implantação da política da gestão das aquisições e da gestão</w:t>
      </w:r>
      <w:r>
        <w:rPr>
          <w:spacing w:val="1"/>
        </w:rPr>
        <w:t> </w:t>
      </w:r>
      <w:r>
        <w:rPr/>
        <w:t>de consumo, que abarca, inclusive, a higienização do catálogo de itens, bem como a</w:t>
      </w:r>
      <w:r>
        <w:rPr>
          <w:spacing w:val="1"/>
        </w:rPr>
        <w:t> </w:t>
      </w:r>
      <w:r>
        <w:rPr/>
        <w:t>gestão dos processos de doação de bens inservíveis, o estoque de bens de consumo e</w:t>
      </w:r>
      <w:r>
        <w:rPr>
          <w:spacing w:val="1"/>
        </w:rPr>
        <w:t> </w:t>
      </w:r>
      <w:r>
        <w:rPr/>
        <w:t>permanentes vem sendo racionalizado às necessidades institucionais e o acervo de bens</w:t>
      </w:r>
      <w:r>
        <w:rPr>
          <w:spacing w:val="1"/>
        </w:rPr>
        <w:t> </w:t>
      </w:r>
      <w:r>
        <w:rPr/>
        <w:t>inservíveis está sendo gradualmente reduzido, de acordo com as decisões autorizadoras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inservíveis.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revelaram</w:t>
      </w:r>
      <w:r>
        <w:rPr>
          <w:spacing w:val="1"/>
        </w:rPr>
        <w:t> </w:t>
      </w:r>
      <w:r>
        <w:rPr/>
        <w:t>subaproveitamento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espaços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área</w:t>
      </w:r>
      <w:r>
        <w:rPr>
          <w:spacing w:val="-1"/>
        </w:rPr>
        <w:t> </w:t>
      </w:r>
      <w:r>
        <w:rPr/>
        <w:t>destinada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armazenagem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Almoxarifado.</w:t>
      </w:r>
    </w:p>
    <w:p>
      <w:pPr>
        <w:pStyle w:val="BodyText"/>
        <w:spacing w:line="360" w:lineRule="auto"/>
        <w:ind w:left="398" w:right="106" w:firstLine="2126"/>
        <w:jc w:val="both"/>
      </w:pPr>
      <w:r>
        <w:rPr/>
        <w:t>Além disso, as melhorias nas rotinas de tarefas e o aperfeiçoamento</w:t>
      </w:r>
      <w:r>
        <w:rPr>
          <w:spacing w:val="1"/>
        </w:rPr>
        <w:t> </w:t>
      </w:r>
      <w:r>
        <w:rPr/>
        <w:t>dos processos de trabalho do Departamento de Material e Patrimônio, dentre outros</w:t>
      </w:r>
      <w:r>
        <w:rPr>
          <w:spacing w:val="1"/>
        </w:rPr>
        <w:t> </w:t>
      </w:r>
      <w:r>
        <w:rPr/>
        <w:t>resultados, mostram que os estoques de materiais permanentes e de consumo, assim</w:t>
      </w:r>
      <w:r>
        <w:rPr>
          <w:spacing w:val="1"/>
        </w:rPr>
        <w:t> </w:t>
      </w:r>
      <w:r>
        <w:rPr/>
        <w:t>como</w:t>
      </w:r>
      <w:r>
        <w:rPr>
          <w:spacing w:val="15"/>
        </w:rPr>
        <w:t> </w:t>
      </w:r>
      <w:r>
        <w:rPr/>
        <w:t>os</w:t>
      </w:r>
      <w:r>
        <w:rPr>
          <w:spacing w:val="17"/>
        </w:rPr>
        <w:t> </w:t>
      </w:r>
      <w:r>
        <w:rPr/>
        <w:t>lotes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bens</w:t>
      </w:r>
      <w:r>
        <w:rPr>
          <w:spacing w:val="17"/>
        </w:rPr>
        <w:t> </w:t>
      </w:r>
      <w:r>
        <w:rPr/>
        <w:t>inservíveis,</w:t>
      </w:r>
      <w:r>
        <w:rPr>
          <w:spacing w:val="19"/>
        </w:rPr>
        <w:t> </w:t>
      </w:r>
      <w:r>
        <w:rPr/>
        <w:t>virão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dispensar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utilização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referido</w:t>
      </w:r>
      <w:r>
        <w:rPr>
          <w:spacing w:val="18"/>
        </w:rPr>
        <w:t> </w:t>
      </w:r>
      <w:r>
        <w:rPr/>
        <w:t>imóvel</w:t>
      </w:r>
      <w:r>
        <w:rPr>
          <w:spacing w:val="16"/>
        </w:rPr>
        <w:t> </w:t>
      </w:r>
      <w:r>
        <w:rPr/>
        <w:t>para</w:t>
      </w:r>
      <w:r>
        <w:rPr>
          <w:spacing w:val="-64"/>
        </w:rPr>
        <w:t> </w:t>
      </w:r>
      <w:r>
        <w:rPr/>
        <w:t>as</w:t>
      </w:r>
      <w:r>
        <w:rPr>
          <w:spacing w:val="-1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acima</w:t>
      </w:r>
      <w:r>
        <w:rPr>
          <w:spacing w:val="1"/>
        </w:rPr>
        <w:t> </w:t>
      </w:r>
      <w:r>
        <w:rPr/>
        <w:t>descritas.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50"/>
          <w:pgMar w:header="152" w:footer="849" w:top="1400" w:bottom="1040" w:left="1020" w:right="740"/>
          <w:pgNumType w:start="1"/>
        </w:sectPr>
      </w:pP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23.950001pt;margin-top:289.401062pt;width:546.75pt;height:468.65pt;mso-position-horizontal-relative:page;mso-position-vertical-relative:page;z-index:15729152" coordorigin="479,5788" coordsize="10935,9373">
            <v:shape style="position:absolute;left:1795;top:5788;width:9274;height:3258" type="#_x0000_t75" stroked="false">
              <v:imagedata r:id="rId9" o:title=""/>
            </v:shape>
            <v:shape style="position:absolute;left:479;top:7644;width:6112;height:4912" type="#_x0000_t75" stroked="false">
              <v:imagedata r:id="rId10" o:title=""/>
            </v:shape>
            <v:shape style="position:absolute;left:4729;top:11235;width:6685;height:3926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spacing w:line="360" w:lineRule="auto" w:before="93"/>
        <w:ind w:left="398" w:right="106" w:firstLine="2126"/>
        <w:jc w:val="both"/>
      </w:pPr>
      <w:r>
        <w:rPr/>
        <w:t>Somando-se a isso fatores como a distância da sede do Tribunal de</w:t>
      </w:r>
      <w:r>
        <w:rPr>
          <w:spacing w:val="1"/>
        </w:rPr>
        <w:t> </w:t>
      </w:r>
      <w:r>
        <w:rPr/>
        <w:t>Justiça, que impacta na formação de equipes de servidores com disponibilidade para essa</w:t>
      </w:r>
      <w:r>
        <w:rPr>
          <w:spacing w:val="-64"/>
        </w:rPr>
        <w:t> </w:t>
      </w:r>
      <w:r>
        <w:rPr/>
        <w:t>lotação, e os custos de manutenção do imóvel, que oneram o contrato, verifica-se a</w:t>
      </w:r>
      <w:r>
        <w:rPr>
          <w:spacing w:val="1"/>
        </w:rPr>
        <w:t> </w:t>
      </w:r>
      <w:r>
        <w:rPr/>
        <w:t>necessidade da adoção de medida de racionalização de gastos e economia de recursos</w:t>
      </w:r>
      <w:r>
        <w:rPr>
          <w:spacing w:val="1"/>
        </w:rPr>
        <w:t> </w:t>
      </w:r>
      <w:r>
        <w:rPr/>
        <w:t>públicos, além de maior eficiência operacional, mediante a edificação de prédio próprio</w:t>
      </w:r>
      <w:r>
        <w:rPr>
          <w:spacing w:val="1"/>
        </w:rPr>
        <w:t> </w:t>
      </w:r>
      <w:r>
        <w:rPr/>
        <w:t>que atenda</w:t>
      </w:r>
      <w:r>
        <w:rPr>
          <w:spacing w:val="-1"/>
        </w:rPr>
        <w:t> </w:t>
      </w:r>
      <w:r>
        <w:rPr/>
        <w:t>essa</w:t>
      </w:r>
      <w:r>
        <w:rPr>
          <w:spacing w:val="-4"/>
        </w:rPr>
        <w:t> </w:t>
      </w:r>
      <w:r>
        <w:rPr/>
        <w:t>finalidade.</w:t>
      </w:r>
    </w:p>
    <w:p>
      <w:pPr>
        <w:pStyle w:val="BodyText"/>
        <w:spacing w:line="360" w:lineRule="auto"/>
        <w:ind w:left="398" w:right="105" w:firstLine="2126"/>
        <w:jc w:val="both"/>
      </w:pPr>
      <w:r>
        <w:rPr/>
        <w:t>A proximidade com a sede do Tribunal de Justiça trará ganho 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logística,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desoneração dos custos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locação de</w:t>
      </w:r>
      <w:r>
        <w:rPr>
          <w:spacing w:val="1"/>
        </w:rPr>
        <w:t> </w:t>
      </w:r>
      <w:r>
        <w:rPr/>
        <w:t>imóvel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contrato.</w:t>
      </w:r>
    </w:p>
    <w:p>
      <w:pPr>
        <w:spacing w:after="0" w:line="360" w:lineRule="auto"/>
        <w:jc w:val="both"/>
        <w:sectPr>
          <w:headerReference w:type="default" r:id="rId7"/>
          <w:footerReference w:type="default" r:id="rId8"/>
          <w:pgSz w:w="11910" w:h="16850"/>
          <w:pgMar w:header="152" w:footer="854" w:top="1440" w:bottom="1040" w:left="10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682" w:val="left" w:leader="none"/>
        </w:tabs>
        <w:spacing w:line="360" w:lineRule="auto" w:before="92" w:after="0"/>
        <w:ind w:left="825" w:right="52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398" w:right="103" w:firstLine="1276"/>
        <w:jc w:val="both"/>
      </w:pPr>
      <w:r>
        <w:rPr/>
        <w:drawing>
          <wp:anchor distT="0" distB="0" distL="0" distR="0" allowOverlap="1" layoutInCell="1" locked="0" behindDoc="1" simplePos="0" relativeHeight="487426560">
            <wp:simplePos x="0" y="0"/>
            <wp:positionH relativeFrom="page">
              <wp:posOffset>1463675</wp:posOffset>
            </wp:positionH>
            <wp:positionV relativeFrom="paragraph">
              <wp:posOffset>745945</wp:posOffset>
            </wp:positionV>
            <wp:extent cx="4869802" cy="4627877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534" w:val="left" w:leader="none"/>
          <w:tab w:pos="3959" w:val="left" w:leader="none"/>
          <w:tab w:pos="5971" w:val="left" w:leader="none"/>
          <w:tab w:pos="7278" w:val="left" w:leader="none"/>
          <w:tab w:pos="9026" w:val="left" w:leader="none"/>
        </w:tabs>
        <w:spacing w:before="208"/>
        <w:ind w:left="82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3"/>
        <w:ind w:left="825" w:right="0" w:firstLine="0"/>
        <w:jc w:val="left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spacing w:after="0"/>
        <w:jc w:val="left"/>
        <w:rPr>
          <w:sz w:val="20"/>
        </w:rPr>
        <w:sectPr>
          <w:pgSz w:w="11910" w:h="16850"/>
          <w:pgMar w:header="152" w:footer="854" w:top="1440" w:bottom="1040" w:left="10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737"/>
        <w:rPr>
          <w:sz w:val="20"/>
        </w:rPr>
      </w:pPr>
      <w:r>
        <w:rPr>
          <w:sz w:val="20"/>
        </w:rPr>
        <w:drawing>
          <wp:inline distT="0" distB="0" distL="0" distR="0">
            <wp:extent cx="5071386" cy="7351013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3016" w:val="left" w:leader="none"/>
          <w:tab w:pos="4984" w:val="left" w:leader="none"/>
          <w:tab w:pos="7041" w:val="left" w:leader="none"/>
          <w:tab w:pos="8457" w:val="left" w:leader="none"/>
          <w:tab w:pos="9537" w:val="left" w:leader="none"/>
        </w:tabs>
        <w:spacing w:before="93"/>
        <w:ind w:left="82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3"/>
        <w:ind w:left="825" w:right="0" w:firstLine="0"/>
        <w:jc w:val="left"/>
        <w:rPr>
          <w:sz w:val="20"/>
        </w:rPr>
      </w:pPr>
      <w:hyperlink r:id="rId15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spacing w:after="0"/>
        <w:jc w:val="left"/>
        <w:rPr>
          <w:sz w:val="20"/>
        </w:rPr>
        <w:sectPr>
          <w:pgSz w:w="11910" w:h="16850"/>
          <w:pgMar w:header="152" w:footer="854" w:top="1440" w:bottom="1040" w:left="10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82" w:val="left" w:leader="none"/>
        </w:tabs>
        <w:spacing w:line="240" w:lineRule="auto" w:before="92" w:after="0"/>
        <w:ind w:left="68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398" w:right="105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-5"/>
        </w:rPr>
        <w:t> </w:t>
      </w:r>
      <w:r>
        <w:rPr/>
        <w:t>pelas</w:t>
      </w:r>
      <w:r>
        <w:rPr>
          <w:spacing w:val="-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projetos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Engenharia.</w:t>
      </w:r>
    </w:p>
    <w:p>
      <w:pPr>
        <w:pStyle w:val="BodyText"/>
        <w:spacing w:line="360" w:lineRule="auto"/>
        <w:ind w:left="398" w:right="105" w:firstLine="1276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66"/>
        </w:rPr>
        <w:t> </w:t>
      </w:r>
      <w:r>
        <w:rPr/>
        <w:t>e</w:t>
      </w:r>
      <w:r>
        <w:rPr>
          <w:spacing w:val="67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Conselho 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 Urbanismo</w:t>
      </w:r>
      <w:r>
        <w:rPr>
          <w:spacing w:val="1"/>
        </w:rPr>
        <w:t> </w:t>
      </w:r>
      <w:r>
        <w:rPr/>
        <w:t>(CAU),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obediência às</w:t>
      </w:r>
      <w:r>
        <w:rPr>
          <w:spacing w:val="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relevância e valor</w:t>
      </w:r>
      <w:r>
        <w:rPr>
          <w:spacing w:val="-2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da licitação.</w:t>
      </w:r>
    </w:p>
    <w:p>
      <w:pPr>
        <w:pStyle w:val="BodyText"/>
        <w:spacing w:line="360" w:lineRule="auto"/>
        <w:ind w:left="398" w:right="106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5"/>
        </w:rPr>
        <w:t> </w:t>
      </w:r>
      <w:r>
        <w:rPr/>
        <w:t>n.</w:t>
      </w:r>
      <w:r>
        <w:rPr>
          <w:spacing w:val="-3"/>
        </w:rPr>
        <w:t> </w:t>
      </w:r>
      <w:r>
        <w:rPr/>
        <w:t>14.133/2021,</w:t>
      </w:r>
      <w:r>
        <w:rPr>
          <w:spacing w:val="-4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contratual.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QUANTIDADES A</w:t>
      </w:r>
      <w:r>
        <w:rPr>
          <w:spacing w:val="-9"/>
        </w:rPr>
        <w:t> </w:t>
      </w:r>
      <w:r>
        <w:rPr/>
        <w:t>SEREM</w:t>
      </w:r>
      <w:r>
        <w:rPr>
          <w:spacing w:val="-4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398" w:right="105" w:firstLine="1276"/>
        <w:jc w:val="both"/>
      </w:pP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arquitetônica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galpão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mezanino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abrigar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perfazendo área construída total de 2.231,90m², a ser edificado em área localizada dentro</w:t>
      </w:r>
      <w:r>
        <w:rPr>
          <w:spacing w:val="-64"/>
        </w:rPr>
        <w:t> </w:t>
      </w:r>
      <w:r>
        <w:rPr/>
        <w:t>terreno</w:t>
      </w:r>
      <w:r>
        <w:rPr>
          <w:spacing w:val="-3"/>
        </w:rPr>
        <w:t> </w:t>
      </w:r>
      <w:r>
        <w:rPr/>
        <w:t>do Juizado Unificado</w:t>
      </w:r>
      <w:r>
        <w:rPr>
          <w:spacing w:val="-2"/>
        </w:rPr>
        <w:t> </w:t>
      </w:r>
      <w:r>
        <w:rPr/>
        <w:t>de Cuiabá, abrigando os</w:t>
      </w:r>
      <w:r>
        <w:rPr>
          <w:spacing w:val="-3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ambientes: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40" w:lineRule="auto" w:before="1" w:after="0"/>
        <w:ind w:left="964" w:right="0" w:hanging="207"/>
        <w:jc w:val="both"/>
        <w:rPr>
          <w:sz w:val="24"/>
        </w:rPr>
      </w:pPr>
      <w:r>
        <w:rPr>
          <w:sz w:val="24"/>
        </w:rPr>
        <w:t>Galpão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doca</w:t>
      </w:r>
      <w:r>
        <w:rPr>
          <w:spacing w:val="-3"/>
          <w:sz w:val="24"/>
        </w:rPr>
        <w:t> </w:t>
      </w:r>
      <w:r>
        <w:rPr>
          <w:sz w:val="24"/>
        </w:rPr>
        <w:t>(1.696,80m²)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40" w:lineRule="auto" w:before="136" w:after="0"/>
        <w:ind w:left="964" w:right="0" w:hanging="207"/>
        <w:jc w:val="both"/>
        <w:rPr>
          <w:sz w:val="24"/>
        </w:rPr>
      </w:pPr>
      <w:r>
        <w:rPr>
          <w:sz w:val="24"/>
        </w:rPr>
        <w:t>Mezanino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área</w:t>
      </w:r>
      <w:r>
        <w:rPr>
          <w:spacing w:val="-5"/>
          <w:sz w:val="24"/>
        </w:rPr>
        <w:t> </w:t>
      </w:r>
      <w:r>
        <w:rPr>
          <w:sz w:val="24"/>
        </w:rPr>
        <w:t>administrativa</w:t>
      </w:r>
      <w:r>
        <w:rPr>
          <w:spacing w:val="-3"/>
          <w:sz w:val="24"/>
        </w:rPr>
        <w:t> </w:t>
      </w:r>
      <w:r>
        <w:rPr>
          <w:sz w:val="24"/>
        </w:rPr>
        <w:t>(358,17m²)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34" w:after="0"/>
        <w:ind w:left="1838" w:right="0" w:hanging="361"/>
        <w:jc w:val="both"/>
        <w:rPr>
          <w:sz w:val="24"/>
        </w:rPr>
      </w:pPr>
      <w:r>
        <w:rPr>
          <w:sz w:val="24"/>
        </w:rPr>
        <w:t>Divisão</w:t>
      </w:r>
      <w:r>
        <w:rPr>
          <w:spacing w:val="-4"/>
          <w:sz w:val="24"/>
        </w:rPr>
        <w:t> </w:t>
      </w:r>
      <w:r>
        <w:rPr>
          <w:sz w:val="24"/>
        </w:rPr>
        <w:t>Patrimonial;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40" w:after="0"/>
        <w:ind w:left="1838" w:right="0" w:hanging="361"/>
        <w:jc w:val="both"/>
        <w:rPr>
          <w:sz w:val="24"/>
        </w:rPr>
      </w:pPr>
      <w:r>
        <w:rPr>
          <w:sz w:val="24"/>
        </w:rPr>
        <w:t>Divisão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Bens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Consumo;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37" w:after="0"/>
        <w:ind w:left="1838" w:right="0" w:hanging="361"/>
        <w:jc w:val="both"/>
        <w:rPr>
          <w:sz w:val="24"/>
        </w:rPr>
      </w:pPr>
      <w:r>
        <w:rPr>
          <w:sz w:val="24"/>
        </w:rPr>
        <w:t>Divisão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Bens</w:t>
      </w:r>
      <w:r>
        <w:rPr>
          <w:spacing w:val="-5"/>
          <w:sz w:val="24"/>
        </w:rPr>
        <w:t> </w:t>
      </w:r>
      <w:r>
        <w:rPr>
          <w:sz w:val="24"/>
        </w:rPr>
        <w:t>Inservíveis;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39" w:after="0"/>
        <w:ind w:left="1838" w:right="0" w:hanging="361"/>
        <w:jc w:val="both"/>
        <w:rPr>
          <w:sz w:val="24"/>
        </w:rPr>
      </w:pPr>
      <w:r>
        <w:rPr>
          <w:sz w:val="24"/>
        </w:rPr>
        <w:t>Sala da</w:t>
      </w:r>
      <w:r>
        <w:rPr>
          <w:spacing w:val="-1"/>
          <w:sz w:val="24"/>
        </w:rPr>
        <w:t> </w:t>
      </w:r>
      <w:r>
        <w:rPr>
          <w:sz w:val="24"/>
        </w:rPr>
        <w:t>TI;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37" w:after="0"/>
        <w:ind w:left="1838" w:right="0" w:hanging="361"/>
        <w:jc w:val="both"/>
        <w:rPr>
          <w:sz w:val="24"/>
        </w:rPr>
      </w:pPr>
      <w:r>
        <w:rPr>
          <w:sz w:val="24"/>
        </w:rPr>
        <w:t>Sala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Correios;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39" w:after="0"/>
        <w:ind w:left="1838" w:right="0" w:hanging="361"/>
        <w:jc w:val="both"/>
        <w:rPr>
          <w:sz w:val="24"/>
        </w:rPr>
      </w:pPr>
      <w:r>
        <w:rPr>
          <w:sz w:val="24"/>
        </w:rPr>
        <w:t>Sala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Terceirizados;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37" w:after="0"/>
        <w:ind w:left="1838" w:right="0" w:hanging="361"/>
        <w:jc w:val="both"/>
        <w:rPr>
          <w:sz w:val="24"/>
        </w:rPr>
      </w:pPr>
      <w:r>
        <w:rPr>
          <w:sz w:val="24"/>
        </w:rPr>
        <w:t>Diretoria;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39" w:after="0"/>
        <w:ind w:left="1838" w:right="0" w:hanging="361"/>
        <w:jc w:val="both"/>
        <w:rPr>
          <w:sz w:val="24"/>
        </w:rPr>
      </w:pPr>
      <w:r>
        <w:rPr>
          <w:sz w:val="24"/>
        </w:rPr>
        <w:t>Assessoria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Diretoria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37" w:after="0"/>
        <w:ind w:left="1838" w:right="0" w:hanging="361"/>
        <w:jc w:val="left"/>
        <w:rPr>
          <w:sz w:val="24"/>
        </w:rPr>
      </w:pPr>
      <w:r>
        <w:rPr>
          <w:sz w:val="24"/>
        </w:rPr>
        <w:t>Banheiro</w:t>
      </w:r>
      <w:r>
        <w:rPr>
          <w:spacing w:val="-3"/>
          <w:sz w:val="24"/>
        </w:rPr>
        <w:t> </w:t>
      </w:r>
      <w:r>
        <w:rPr>
          <w:sz w:val="24"/>
        </w:rPr>
        <w:t>Públicos</w:t>
      </w:r>
      <w:r>
        <w:rPr>
          <w:spacing w:val="-3"/>
          <w:sz w:val="24"/>
        </w:rPr>
        <w:t> </w:t>
      </w:r>
      <w:r>
        <w:rPr>
          <w:sz w:val="24"/>
        </w:rPr>
        <w:t>(masculino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feminino)</w:t>
      </w:r>
    </w:p>
    <w:p>
      <w:pPr>
        <w:pStyle w:val="ListParagraph"/>
        <w:numPr>
          <w:ilvl w:val="2"/>
          <w:numId w:val="1"/>
        </w:numPr>
        <w:tabs>
          <w:tab w:pos="1839" w:val="left" w:leader="none"/>
        </w:tabs>
        <w:spacing w:line="240" w:lineRule="auto" w:before="139" w:after="0"/>
        <w:ind w:left="1838" w:right="0" w:hanging="361"/>
        <w:jc w:val="left"/>
        <w:rPr>
          <w:sz w:val="24"/>
        </w:rPr>
      </w:pPr>
      <w:r>
        <w:rPr>
          <w:sz w:val="24"/>
        </w:rPr>
        <w:t>Copa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152" w:footer="854" w:top="1440" w:bottom="1040" w:left="10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6120796" cy="3651504"/>
            <wp:effectExtent l="0" t="0" r="0" b="0"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96" cy="36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682" w:val="left" w:leader="none"/>
        </w:tabs>
        <w:spacing w:line="240" w:lineRule="auto" w:before="92" w:after="0"/>
        <w:ind w:left="68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398" w:right="105" w:firstLine="1418"/>
        <w:jc w:val="both"/>
      </w:pPr>
      <w:r>
        <w:rPr/>
        <w:t>É sabido que a Administração Pública poderá obter o objeto pretendido</w:t>
      </w:r>
      <w:r>
        <w:rPr>
          <w:spacing w:val="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Direta ou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Indireta.</w:t>
      </w:r>
    </w:p>
    <w:p>
      <w:pPr>
        <w:pStyle w:val="BodyText"/>
        <w:spacing w:line="360" w:lineRule="auto"/>
        <w:ind w:left="398" w:right="104" w:firstLine="1418"/>
        <w:jc w:val="both"/>
      </w:pPr>
      <w:r>
        <w:rPr/>
        <w:t>Como Execução Direta do objeto pretendido, tem-se a hipótese em que a</w:t>
      </w:r>
      <w:r>
        <w:rPr>
          <w:spacing w:val="1"/>
        </w:rPr>
        <w:t> </w:t>
      </w:r>
      <w:r>
        <w:rPr/>
        <w:t>própria Administração Pública, através de seus próprios meios, ou seja, os seus próprios</w:t>
      </w:r>
      <w:r>
        <w:rPr>
          <w:spacing w:val="1"/>
        </w:rPr>
        <w:t> </w:t>
      </w:r>
      <w:r>
        <w:rPr/>
        <w:t>órgãos e entidades, executam o serviço pretendido. Para que se configure a dita espécie</w:t>
      </w:r>
      <w:r>
        <w:rPr>
          <w:spacing w:val="1"/>
        </w:rPr>
        <w:t> </w:t>
      </w:r>
      <w:r>
        <w:rPr/>
        <w:t>de execução, deverá a Administração Pública, efetivamente, deter a totalidade dos meios</w:t>
      </w:r>
      <w:r>
        <w:rPr>
          <w:spacing w:val="1"/>
        </w:rPr>
        <w:t> </w:t>
      </w: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3"/>
        </w:rPr>
        <w:t> </w:t>
      </w:r>
      <w:r>
        <w:rPr/>
        <w:t>as disposições</w:t>
      </w:r>
      <w:r>
        <w:rPr>
          <w:spacing w:val="-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processo licitatório.</w:t>
      </w:r>
    </w:p>
    <w:p>
      <w:pPr>
        <w:pStyle w:val="BodyText"/>
        <w:spacing w:line="360" w:lineRule="auto"/>
        <w:ind w:left="398" w:right="106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produto</w:t>
      </w:r>
      <w:r>
        <w:rPr>
          <w:spacing w:val="4"/>
        </w:rPr>
        <w:t> </w:t>
      </w:r>
      <w:r>
        <w:rPr/>
        <w:t>almejado.</w:t>
      </w:r>
      <w:r>
        <w:rPr>
          <w:spacing w:val="3"/>
        </w:rPr>
        <w:t> </w:t>
      </w:r>
      <w:r>
        <w:rPr/>
        <w:t>Tal</w:t>
      </w:r>
      <w:r>
        <w:rPr>
          <w:spacing w:val="2"/>
        </w:rPr>
        <w:t> </w:t>
      </w:r>
      <w:r>
        <w:rPr/>
        <w:t>espécie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objeto</w:t>
      </w:r>
      <w:r>
        <w:rPr>
          <w:spacing w:val="4"/>
        </w:rPr>
        <w:t> </w:t>
      </w:r>
      <w:r>
        <w:rPr/>
        <w:t>contratado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dá</w:t>
      </w:r>
      <w:r>
        <w:rPr>
          <w:spacing w:val="4"/>
        </w:rPr>
        <w:t> </w:t>
      </w:r>
      <w:r>
        <w:rPr/>
        <w:t>através</w:t>
      </w:r>
    </w:p>
    <w:p>
      <w:pPr>
        <w:spacing w:after="0" w:line="360" w:lineRule="auto"/>
        <w:jc w:val="both"/>
        <w:sectPr>
          <w:pgSz w:w="11910" w:h="16850"/>
          <w:pgMar w:header="152" w:footer="854" w:top="1440" w:bottom="1040" w:left="1020" w:right="7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398" w:right="105"/>
        <w:jc w:val="both"/>
      </w:pP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3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 associado.</w:t>
      </w:r>
    </w:p>
    <w:p>
      <w:pPr>
        <w:pStyle w:val="BodyText"/>
        <w:spacing w:line="360" w:lineRule="auto"/>
        <w:ind w:left="398" w:right="103" w:firstLine="1560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 a melhor solução para a</w:t>
      </w:r>
      <w:r>
        <w:rPr>
          <w:spacing w:val="1"/>
        </w:rPr>
        <w:t> </w:t>
      </w:r>
      <w:r>
        <w:rPr/>
        <w:t>contratação é a execução</w:t>
      </w:r>
      <w:r>
        <w:rPr>
          <w:spacing w:val="66"/>
        </w:rPr>
        <w:t> </w:t>
      </w:r>
      <w:r>
        <w:rPr/>
        <w:t>indireta, tendo em</w:t>
      </w:r>
      <w:r>
        <w:rPr>
          <w:spacing w:val="1"/>
        </w:rPr>
        <w:t> </w:t>
      </w:r>
      <w:r>
        <w:rPr/>
        <w:t>vista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Poder</w:t>
      </w:r>
      <w:r>
        <w:rPr>
          <w:spacing w:val="11"/>
        </w:rPr>
        <w:t> </w:t>
      </w:r>
      <w:r>
        <w:rPr/>
        <w:t>Judiciário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Mato</w:t>
      </w:r>
      <w:r>
        <w:rPr>
          <w:spacing w:val="10"/>
        </w:rPr>
        <w:t> </w:t>
      </w:r>
      <w:r>
        <w:rPr/>
        <w:t>Grosso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detém</w:t>
      </w:r>
      <w:r>
        <w:rPr>
          <w:spacing w:val="12"/>
        </w:rPr>
        <w:t> </w:t>
      </w:r>
      <w:r>
        <w:rPr/>
        <w:t>os</w:t>
      </w:r>
      <w:r>
        <w:rPr>
          <w:spacing w:val="9"/>
        </w:rPr>
        <w:t> </w:t>
      </w:r>
      <w:r>
        <w:rPr/>
        <w:t>meios</w:t>
      </w:r>
      <w:r>
        <w:rPr>
          <w:spacing w:val="12"/>
        </w:rPr>
        <w:t> </w:t>
      </w:r>
      <w:r>
        <w:rPr/>
        <w:t>necessários</w:t>
      </w:r>
      <w:r>
        <w:rPr>
          <w:spacing w:val="-65"/>
        </w:rPr>
        <w:t> </w:t>
      </w:r>
      <w:r>
        <w:rPr/>
        <w:t>à concretização do objeto; e através de empreitada por preço unitário que enseja na</w:t>
      </w:r>
      <w:r>
        <w:rPr>
          <w:spacing w:val="1"/>
        </w:rPr>
        <w:t> </w:t>
      </w:r>
      <w:r>
        <w:rPr/>
        <w:t>apuração de cada um dos itens que integram o projeto básico e executivo do objeto a ser</w:t>
      </w:r>
      <w:r>
        <w:rPr>
          <w:spacing w:val="1"/>
        </w:rPr>
        <w:t> </w:t>
      </w:r>
      <w:r>
        <w:rPr/>
        <w:t>licitado e contratado, apontando-se os respectivos quantitativos, seus preços unitários e o</w:t>
      </w:r>
      <w:r>
        <w:rPr>
          <w:spacing w:val="1"/>
        </w:rPr>
        <w:t> </w:t>
      </w:r>
      <w:r>
        <w:rPr/>
        <w:t>valor total de cada item, apurando-se, de tal forma, o valor total da contratação, e que há</w:t>
      </w:r>
      <w:r>
        <w:rPr>
          <w:spacing w:val="1"/>
        </w:rPr>
        <w:t> </w:t>
      </w:r>
      <w:r>
        <w:rPr/>
        <w:t>meios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definir</w:t>
      </w:r>
      <w:r>
        <w:rPr>
          <w:spacing w:val="-2"/>
        </w:rPr>
        <w:t> </w:t>
      </w:r>
      <w:r>
        <w:rPr/>
        <w:t>claramente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quantitativos</w:t>
      </w:r>
      <w:r>
        <w:rPr>
          <w:spacing w:val="-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executado.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line="360" w:lineRule="auto" w:before="0"/>
        <w:ind w:left="398" w:right="105" w:firstLine="1560"/>
        <w:jc w:val="both"/>
        <w:rPr>
          <w:sz w:val="24"/>
        </w:rPr>
      </w:pPr>
      <w:r>
        <w:rPr>
          <w:sz w:val="24"/>
        </w:rPr>
        <w:t>O valor estimado será de </w:t>
      </w:r>
      <w:r>
        <w:rPr>
          <w:rFonts w:ascii="Arial" w:hAnsi="Arial"/>
          <w:b/>
          <w:sz w:val="24"/>
        </w:rPr>
        <w:t>R$ 12.958.790,41 (doze milhões, novecentos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cinquenta e oito mil, setecentos e noventa reais e quarenta e um centavos), </w:t>
      </w:r>
      <w:r>
        <w:rPr>
          <w:sz w:val="24"/>
        </w:rPr>
        <w:t>em um</w:t>
      </w:r>
      <w:r>
        <w:rPr>
          <w:spacing w:val="1"/>
          <w:sz w:val="24"/>
        </w:rPr>
        <w:t> </w:t>
      </w:r>
      <w:r>
        <w:rPr>
          <w:sz w:val="24"/>
        </w:rPr>
        <w:t>prazo 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de 480</w:t>
      </w:r>
      <w:r>
        <w:rPr>
          <w:spacing w:val="-1"/>
          <w:sz w:val="24"/>
        </w:rPr>
        <w:t> </w:t>
      </w:r>
      <w:r>
        <w:rPr>
          <w:sz w:val="24"/>
        </w:rPr>
        <w:t>dias</w:t>
      </w:r>
    </w:p>
    <w:p>
      <w:pPr>
        <w:pStyle w:val="BodyText"/>
        <w:spacing w:line="360" w:lineRule="auto"/>
        <w:ind w:left="398" w:right="105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 obtidos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de insumos ou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 Econômica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9º da</w:t>
      </w:r>
      <w:r>
        <w:rPr>
          <w:spacing w:val="1"/>
        </w:rPr>
        <w:t> </w:t>
      </w:r>
      <w:r>
        <w:rPr/>
        <w:t>Res.</w:t>
      </w:r>
      <w:r>
        <w:rPr>
          <w:spacing w:val="-3"/>
        </w:rPr>
        <w:t> </w:t>
      </w:r>
      <w:r>
        <w:rPr/>
        <w:t>114/2010/CNJ).</w:t>
      </w:r>
    </w:p>
    <w:p>
      <w:pPr>
        <w:pStyle w:val="BodyText"/>
        <w:spacing w:line="360" w:lineRule="auto"/>
        <w:ind w:left="398" w:right="109" w:firstLine="1560"/>
        <w:jc w:val="both"/>
      </w:pPr>
      <w:r>
        <w:rPr/>
        <w:t>Os quantitativos e respectivos códigos dos itens são os discriminados em</w:t>
      </w:r>
      <w:r>
        <w:rPr>
          <w:spacing w:val="1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Estimativa,</w:t>
      </w:r>
      <w:r>
        <w:rPr>
          <w:spacing w:val="1"/>
        </w:rPr>
        <w:t> </w:t>
      </w:r>
      <w:r>
        <w:rPr/>
        <w:t>apêndice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 Básico.</w:t>
      </w:r>
    </w:p>
    <w:p>
      <w:pPr>
        <w:pStyle w:val="BodyText"/>
        <w:spacing w:before="1"/>
        <w:ind w:left="1958"/>
        <w:jc w:val="both"/>
      </w:pPr>
      <w:r>
        <w:rPr/>
        <w:t>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contratação</w:t>
      </w:r>
      <w:r>
        <w:rPr>
          <w:spacing w:val="4"/>
        </w:rPr>
        <w:t> </w:t>
      </w:r>
      <w:r>
        <w:rPr/>
        <w:t>adotará</w:t>
      </w:r>
      <w:r>
        <w:rPr>
          <w:spacing w:val="4"/>
        </w:rPr>
        <w:t> </w:t>
      </w:r>
      <w:r>
        <w:rPr>
          <w:u w:val="single"/>
        </w:rPr>
        <w:t>empreitada</w:t>
      </w:r>
      <w:r>
        <w:rPr>
          <w:spacing w:val="2"/>
          <w:u w:val="single"/>
        </w:rPr>
        <w:t> </w:t>
      </w:r>
      <w:r>
        <w:rPr>
          <w:u w:val="single"/>
        </w:rPr>
        <w:t>por</w:t>
      </w:r>
      <w:r>
        <w:rPr>
          <w:spacing w:val="3"/>
          <w:u w:val="single"/>
        </w:rPr>
        <w:t> </w:t>
      </w:r>
      <w:r>
        <w:rPr>
          <w:u w:val="single"/>
        </w:rPr>
        <w:t>preço</w:t>
      </w:r>
      <w:r>
        <w:rPr>
          <w:spacing w:val="2"/>
          <w:u w:val="single"/>
        </w:rPr>
        <w:t> </w:t>
      </w:r>
      <w:r>
        <w:rPr>
          <w:u w:val="single"/>
        </w:rPr>
        <w:t>unitário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regime</w:t>
      </w:r>
    </w:p>
    <w:p>
      <w:pPr>
        <w:pStyle w:val="BodyText"/>
        <w:spacing w:before="136"/>
        <w:ind w:left="398"/>
      </w:pP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398" w:right="105" w:firstLine="1560"/>
        <w:jc w:val="both"/>
      </w:pPr>
      <w:r>
        <w:rPr/>
        <w:t>Esta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destina-se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prédio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abrigue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Almoxarifado do Departamento de Material e Patrimônio – DMP. Tais serviços englobam</w:t>
      </w:r>
      <w:r>
        <w:rPr>
          <w:spacing w:val="1"/>
        </w:rPr>
        <w:t> </w:t>
      </w:r>
      <w:r>
        <w:rPr/>
        <w:t>resumidamente: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94" w:lineRule="exact" w:before="0" w:after="0"/>
        <w:ind w:left="964" w:right="0" w:hanging="207"/>
        <w:jc w:val="both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alvenaria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vedação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bloco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concreto;</w:t>
      </w:r>
    </w:p>
    <w:p>
      <w:pPr>
        <w:spacing w:after="0" w:line="294" w:lineRule="exact"/>
        <w:jc w:val="both"/>
        <w:rPr>
          <w:sz w:val="24"/>
        </w:rPr>
        <w:sectPr>
          <w:pgSz w:w="11910" w:h="16850"/>
          <w:pgMar w:header="152" w:footer="854" w:top="1440" w:bottom="1040" w:left="1020" w:right="7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350" w:lineRule="auto" w:before="100" w:after="0"/>
        <w:ind w:left="1118" w:right="105" w:hanging="360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cobertura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0"/>
          <w:sz w:val="24"/>
        </w:rPr>
        <w:t> </w:t>
      </w:r>
      <w:r>
        <w:rPr>
          <w:sz w:val="24"/>
        </w:rPr>
        <w:t>telha</w:t>
      </w:r>
      <w:r>
        <w:rPr>
          <w:spacing w:val="10"/>
          <w:sz w:val="24"/>
        </w:rPr>
        <w:t> </w:t>
      </w:r>
      <w:r>
        <w:rPr>
          <w:sz w:val="24"/>
        </w:rPr>
        <w:t>termo</w:t>
      </w:r>
      <w:r>
        <w:rPr>
          <w:spacing w:val="7"/>
          <w:sz w:val="24"/>
        </w:rPr>
        <w:t> </w:t>
      </w:r>
      <w:r>
        <w:rPr>
          <w:sz w:val="24"/>
        </w:rPr>
        <w:t>acústica,</w:t>
      </w:r>
      <w:r>
        <w:rPr>
          <w:spacing w:val="10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estrutura</w:t>
      </w:r>
      <w:r>
        <w:rPr>
          <w:spacing w:val="7"/>
          <w:sz w:val="24"/>
        </w:rPr>
        <w:t> </w:t>
      </w:r>
      <w:r>
        <w:rPr>
          <w:sz w:val="24"/>
        </w:rPr>
        <w:t>metálica</w:t>
      </w:r>
      <w:r>
        <w:rPr>
          <w:spacing w:val="10"/>
          <w:sz w:val="24"/>
        </w:rPr>
        <w:t> </w:t>
      </w:r>
      <w:r>
        <w:rPr>
          <w:sz w:val="24"/>
        </w:rPr>
        <w:t>tipo</w:t>
      </w:r>
      <w:r>
        <w:rPr>
          <w:spacing w:val="9"/>
          <w:sz w:val="24"/>
        </w:rPr>
        <w:t> </w:t>
      </w:r>
      <w:r>
        <w:rPr>
          <w:sz w:val="24"/>
        </w:rPr>
        <w:t>Shed,</w:t>
      </w:r>
      <w:r>
        <w:rPr>
          <w:spacing w:val="-63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iluminação</w:t>
      </w:r>
      <w:r>
        <w:rPr>
          <w:spacing w:val="1"/>
          <w:sz w:val="24"/>
        </w:rPr>
        <w:t> </w:t>
      </w:r>
      <w:r>
        <w:rPr>
          <w:sz w:val="24"/>
        </w:rPr>
        <w:t>zenital;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350" w:lineRule="auto" w:before="13" w:after="0"/>
        <w:ind w:left="1118" w:right="107" w:hanging="360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paredes</w:t>
      </w:r>
      <w:r>
        <w:rPr>
          <w:spacing w:val="7"/>
          <w:sz w:val="24"/>
        </w:rPr>
        <w:t> </w:t>
      </w:r>
      <w:r>
        <w:rPr>
          <w:sz w:val="24"/>
        </w:rPr>
        <w:t>internas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forro,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área</w:t>
      </w:r>
      <w:r>
        <w:rPr>
          <w:spacing w:val="10"/>
          <w:sz w:val="24"/>
        </w:rPr>
        <w:t> </w:t>
      </w:r>
      <w:r>
        <w:rPr>
          <w:sz w:val="24"/>
        </w:rPr>
        <w:t>administrativa,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gesso</w:t>
      </w:r>
      <w:r>
        <w:rPr>
          <w:spacing w:val="9"/>
          <w:sz w:val="24"/>
        </w:rPr>
        <w:t> </w:t>
      </w:r>
      <w:r>
        <w:rPr>
          <w:sz w:val="24"/>
        </w:rPr>
        <w:t>acartonado</w:t>
      </w:r>
      <w:r>
        <w:rPr>
          <w:spacing w:val="-63"/>
          <w:sz w:val="24"/>
        </w:rPr>
        <w:t> </w:t>
      </w:r>
      <w:r>
        <w:rPr>
          <w:sz w:val="24"/>
        </w:rPr>
        <w:t>drywall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40" w:lineRule="auto" w:before="10" w:after="0"/>
        <w:ind w:left="96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piso</w:t>
      </w:r>
      <w:r>
        <w:rPr>
          <w:spacing w:val="-3"/>
          <w:sz w:val="24"/>
        </w:rPr>
        <w:t> </w:t>
      </w:r>
      <w:r>
        <w:rPr>
          <w:sz w:val="24"/>
        </w:rPr>
        <w:t>granilite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área</w:t>
      </w:r>
      <w:r>
        <w:rPr>
          <w:spacing w:val="-5"/>
          <w:sz w:val="24"/>
        </w:rPr>
        <w:t> </w:t>
      </w:r>
      <w:r>
        <w:rPr>
          <w:sz w:val="24"/>
        </w:rPr>
        <w:t>administrativa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350" w:lineRule="auto" w:before="138" w:after="0"/>
        <w:ind w:left="1118" w:right="106" w:hanging="360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piso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concreto</w:t>
      </w:r>
      <w:r>
        <w:rPr>
          <w:spacing w:val="61"/>
          <w:sz w:val="24"/>
        </w:rPr>
        <w:t> </w:t>
      </w:r>
      <w:r>
        <w:rPr>
          <w:sz w:val="24"/>
        </w:rPr>
        <w:t>usinado,</w:t>
      </w:r>
      <w:r>
        <w:rPr>
          <w:spacing w:val="62"/>
          <w:sz w:val="24"/>
        </w:rPr>
        <w:t> </w:t>
      </w:r>
      <w:r>
        <w:rPr>
          <w:sz w:val="24"/>
        </w:rPr>
        <w:t>com</w:t>
      </w:r>
      <w:r>
        <w:rPr>
          <w:spacing w:val="64"/>
          <w:sz w:val="24"/>
        </w:rPr>
        <w:t> </w:t>
      </w:r>
      <w:r>
        <w:rPr>
          <w:sz w:val="24"/>
        </w:rPr>
        <w:t>acabamento</w:t>
      </w:r>
      <w:r>
        <w:rPr>
          <w:spacing w:val="63"/>
          <w:sz w:val="24"/>
        </w:rPr>
        <w:t> </w:t>
      </w:r>
      <w:r>
        <w:rPr>
          <w:sz w:val="24"/>
        </w:rPr>
        <w:t>polido</w:t>
      </w:r>
      <w:r>
        <w:rPr>
          <w:spacing w:val="62"/>
          <w:sz w:val="24"/>
        </w:rPr>
        <w:t> </w:t>
      </w:r>
      <w:r>
        <w:rPr>
          <w:sz w:val="24"/>
        </w:rPr>
        <w:t>e</w:t>
      </w:r>
      <w:r>
        <w:rPr>
          <w:spacing w:val="63"/>
          <w:sz w:val="24"/>
        </w:rPr>
        <w:t> </w:t>
      </w:r>
      <w:r>
        <w:rPr>
          <w:sz w:val="24"/>
        </w:rPr>
        <w:t>estrutura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malha dupla,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galpão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350" w:lineRule="auto" w:before="10" w:after="0"/>
        <w:ind w:left="1118" w:right="106" w:hanging="360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01</w:t>
      </w:r>
      <w:r>
        <w:rPr>
          <w:spacing w:val="4"/>
          <w:sz w:val="24"/>
        </w:rPr>
        <w:t> </w:t>
      </w:r>
      <w:r>
        <w:rPr>
          <w:sz w:val="24"/>
        </w:rPr>
        <w:t>equipamento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elevador</w:t>
      </w:r>
      <w:r>
        <w:rPr>
          <w:spacing w:val="3"/>
          <w:sz w:val="24"/>
        </w:rPr>
        <w:t> </w:t>
      </w:r>
      <w:r>
        <w:rPr>
          <w:sz w:val="24"/>
        </w:rPr>
        <w:t>elétrico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carga,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capacidade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até</w:t>
      </w:r>
      <w:r>
        <w:rPr>
          <w:spacing w:val="-63"/>
          <w:sz w:val="24"/>
        </w:rPr>
        <w:t> </w:t>
      </w:r>
      <w:r>
        <w:rPr>
          <w:sz w:val="24"/>
        </w:rPr>
        <w:t>1000 quilos.</w:t>
      </w:r>
    </w:p>
    <w:p>
      <w:pPr>
        <w:pStyle w:val="BodyText"/>
        <w:spacing w:line="360" w:lineRule="auto" w:before="12"/>
        <w:ind w:left="398" w:right="105" w:firstLine="1560"/>
        <w:jc w:val="both"/>
      </w:pP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obra deverá</w:t>
      </w:r>
      <w:r>
        <w:rPr>
          <w:spacing w:val="1"/>
        </w:rPr>
        <w:t> </w:t>
      </w:r>
      <w:r>
        <w:rPr/>
        <w:t>seguir 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Referência,</w:t>
      </w:r>
      <w:r>
        <w:rPr>
          <w:spacing w:val="1"/>
        </w:rPr>
        <w:t> </w:t>
      </w:r>
      <w:r>
        <w:rPr/>
        <w:t>memoriais</w:t>
      </w:r>
      <w:r>
        <w:rPr>
          <w:spacing w:val="1"/>
        </w:rPr>
        <w:t> </w:t>
      </w:r>
      <w:r>
        <w:rPr/>
        <w:t>descritivos,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</w:t>
      </w:r>
      <w:r>
        <w:rPr>
          <w:spacing w:val="1"/>
        </w:rPr>
        <w:t> </w:t>
      </w:r>
      <w:r>
        <w:rPr/>
        <w:t>financeiro, elaborados</w:t>
      </w:r>
      <w:r>
        <w:rPr>
          <w:spacing w:val="-2"/>
        </w:rPr>
        <w:t> </w:t>
      </w:r>
      <w:r>
        <w:rPr/>
        <w:t>pelo Departamento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Obras do</w:t>
      </w:r>
      <w:r>
        <w:rPr>
          <w:spacing w:val="-2"/>
        </w:rPr>
        <w:t> </w:t>
      </w:r>
      <w:r>
        <w:rPr/>
        <w:t>TJMT.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398" w:right="104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123/2006).</w:t>
      </w:r>
    </w:p>
    <w:p>
      <w:pPr>
        <w:pStyle w:val="BodyText"/>
        <w:spacing w:line="360" w:lineRule="auto" w:before="1"/>
        <w:ind w:left="398" w:right="105" w:firstLine="1843"/>
        <w:jc w:val="both"/>
      </w:pPr>
      <w:r>
        <w:rPr/>
        <w:t>A subcontratação permitida no Termo de Referência não se confunde</w:t>
      </w:r>
      <w:r>
        <w:rPr>
          <w:spacing w:val="1"/>
        </w:rPr>
        <w:t> </w:t>
      </w:r>
      <w:r>
        <w:rPr/>
        <w:t>com a contratação de microempresas e empresas de pequeno porte referente a 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84"/>
        <w:jc w:val="left"/>
      </w:pPr>
      <w:r>
        <w:rPr/>
        <w:t>VEDAÇÃO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CONSÓRCIO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398" w:right="104" w:firstLine="184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 consórcio</w:t>
      </w:r>
      <w:r>
        <w:rPr>
          <w:spacing w:val="1"/>
        </w:rPr>
        <w:t> </w:t>
      </w:r>
      <w:r>
        <w:rPr/>
        <w:t>no presente procedimento</w:t>
      </w:r>
      <w:r>
        <w:rPr>
          <w:spacing w:val="1"/>
        </w:rPr>
        <w:t> </w:t>
      </w:r>
      <w:r>
        <w:rPr/>
        <w:t>licitatório.</w:t>
      </w:r>
    </w:p>
    <w:p>
      <w:pPr>
        <w:spacing w:after="0" w:line="360" w:lineRule="auto"/>
        <w:jc w:val="both"/>
        <w:sectPr>
          <w:pgSz w:w="11910" w:h="16850"/>
          <w:pgMar w:header="152" w:footer="854" w:top="1440" w:bottom="1040" w:left="1020" w:right="7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398" w:right="106" w:firstLine="1843"/>
        <w:jc w:val="both"/>
      </w:pPr>
      <w:r>
        <w:rPr/>
        <w:t>Conforme art. 15 da Lei n. 14.133/2021, a conveniência de admissão 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 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360" w:lineRule="auto"/>
        <w:ind w:left="398" w:right="105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constituídas sob a forma de consórcio se justifica na medida em o objeto deste 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é perfeitamente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e compatível com</w:t>
      </w:r>
      <w:r>
        <w:rPr>
          <w:spacing w:val="1"/>
        </w:rPr>
        <w:t> </w:t>
      </w:r>
      <w:r>
        <w:rPr/>
        <w:t>empresas atuantes no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construção civil, cuja participação de uma gama variada de empresas, às quais, em sua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absoluta,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tocante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econômico-financeira, demonstrando possuir condições suficientes para a execução de</w:t>
      </w:r>
      <w:r>
        <w:rPr>
          <w:spacing w:val="1"/>
        </w:rPr>
        <w:t> </w:t>
      </w:r>
      <w:r>
        <w:rPr/>
        <w:t>contratos dessa natureza, o que por consequência não tornará restrito o universo de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licitantes individuais.</w:t>
      </w:r>
    </w:p>
    <w:p>
      <w:pPr>
        <w:pStyle w:val="BodyText"/>
        <w:spacing w:line="360" w:lineRule="auto"/>
        <w:ind w:left="398" w:right="103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trará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 visto que, em regra, a formação de consórcios é admitida quando o objeto a ser</w:t>
      </w:r>
      <w:r>
        <w:rPr>
          <w:spacing w:val="1"/>
        </w:rPr>
        <w:t> </w:t>
      </w:r>
      <w:r>
        <w:rPr/>
        <w:t>licitado envolve questões de alta complexidade, em que empresas, isoladamente, não</w:t>
      </w:r>
      <w:r>
        <w:rPr>
          <w:spacing w:val="1"/>
        </w:rPr>
        <w:t> </w:t>
      </w:r>
      <w:r>
        <w:rPr/>
        <w:t>teriam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suprir</w:t>
      </w:r>
      <w:r>
        <w:rPr>
          <w:spacing w:val="-2"/>
        </w:rPr>
        <w:t> </w:t>
      </w:r>
      <w:r>
        <w:rPr/>
        <w:t>os requisitos</w:t>
      </w:r>
      <w:r>
        <w:rPr>
          <w:spacing w:val="-1"/>
        </w:rPr>
        <w:t> </w:t>
      </w:r>
      <w:r>
        <w:rPr/>
        <w:t>de habilitação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0" w:lineRule="auto"/>
        <w:ind w:left="398" w:right="106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line="360" w:lineRule="auto"/>
        <w:ind w:left="398" w:right="106" w:firstLine="1843"/>
        <w:jc w:val="both"/>
      </w:pPr>
      <w:r>
        <w:rPr/>
        <w:t>Ademais, o objeto do presente Termo de Referência não se configura</w:t>
      </w:r>
      <w:r>
        <w:rPr>
          <w:spacing w:val="1"/>
        </w:rPr>
        <w:t> </w:t>
      </w:r>
      <w:r>
        <w:rPr/>
        <w:t>pela necessidade de multidisciplinaridade em termos de serviços a serem prestados, visto</w:t>
      </w:r>
      <w:r>
        <w:rPr>
          <w:spacing w:val="-64"/>
        </w:rPr>
        <w:t> </w:t>
      </w:r>
      <w:r>
        <w:rPr/>
        <w:t>que compreende tão somente execução de reforma e ampliação de edificação pública</w:t>
      </w:r>
      <w:r>
        <w:rPr>
          <w:spacing w:val="1"/>
        </w:rPr>
        <w:t> </w:t>
      </w:r>
      <w:r>
        <w:rPr/>
        <w:t>existente.</w:t>
      </w:r>
    </w:p>
    <w:p>
      <w:pPr>
        <w:pStyle w:val="BodyText"/>
        <w:spacing w:line="360" w:lineRule="auto"/>
        <w:ind w:left="398" w:right="104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prestigiar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competitividade,</w:t>
      </w:r>
      <w:r>
        <w:rPr>
          <w:spacing w:val="-1"/>
        </w:rPr>
        <w:t> </w:t>
      </w:r>
      <w:r>
        <w:rPr/>
        <w:t>economicidade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moralidade.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428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2100"/>
      </w:pPr>
      <w:r>
        <w:rPr/>
        <w:t>A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resultados: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350" w:lineRule="auto" w:before="140" w:after="0"/>
        <w:ind w:left="964" w:right="106" w:hanging="207"/>
        <w:jc w:val="left"/>
        <w:rPr>
          <w:sz w:val="24"/>
        </w:rPr>
      </w:pPr>
      <w:r>
        <w:rPr>
          <w:sz w:val="24"/>
        </w:rPr>
        <w:t>Maior</w:t>
      </w:r>
      <w:r>
        <w:rPr>
          <w:spacing w:val="51"/>
          <w:sz w:val="24"/>
        </w:rPr>
        <w:t> </w:t>
      </w:r>
      <w:r>
        <w:rPr>
          <w:sz w:val="24"/>
        </w:rPr>
        <w:t>eficiência</w:t>
      </w:r>
      <w:r>
        <w:rPr>
          <w:spacing w:val="53"/>
          <w:sz w:val="24"/>
        </w:rPr>
        <w:t> </w:t>
      </w:r>
      <w:r>
        <w:rPr>
          <w:sz w:val="24"/>
        </w:rPr>
        <w:t>operacional,</w:t>
      </w:r>
      <w:r>
        <w:rPr>
          <w:spacing w:val="50"/>
          <w:sz w:val="24"/>
        </w:rPr>
        <w:t> </w:t>
      </w:r>
      <w:r>
        <w:rPr>
          <w:sz w:val="24"/>
        </w:rPr>
        <w:t>mediante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edificação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prédio</w:t>
      </w:r>
      <w:r>
        <w:rPr>
          <w:spacing w:val="53"/>
          <w:sz w:val="24"/>
        </w:rPr>
        <w:t> </w:t>
      </w:r>
      <w:r>
        <w:rPr>
          <w:sz w:val="24"/>
        </w:rPr>
        <w:t>próprio,</w:t>
      </w:r>
      <w:r>
        <w:rPr>
          <w:spacing w:val="52"/>
          <w:sz w:val="24"/>
        </w:rPr>
        <w:t> </w:t>
      </w:r>
      <w:r>
        <w:rPr>
          <w:sz w:val="24"/>
        </w:rPr>
        <w:t>próximo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Justiça..</w:t>
      </w:r>
    </w:p>
    <w:p>
      <w:pPr>
        <w:spacing w:after="0" w:line="350" w:lineRule="auto"/>
        <w:jc w:val="left"/>
        <w:rPr>
          <w:sz w:val="24"/>
        </w:rPr>
        <w:sectPr>
          <w:pgSz w:w="11910" w:h="16850"/>
          <w:pgMar w:header="152" w:footer="854" w:top="1440" w:bottom="1040" w:left="1020" w:right="7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355" w:lineRule="auto" w:before="100" w:after="0"/>
        <w:ind w:left="964" w:right="106" w:hanging="207"/>
        <w:jc w:val="both"/>
        <w:rPr>
          <w:sz w:val="24"/>
        </w:rPr>
      </w:pPr>
      <w:r>
        <w:rPr>
          <w:sz w:val="24"/>
        </w:rPr>
        <w:t>Racionalização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economia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tendo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encurtamento da distância da sede do Tribunal de Justiça em relação ao predio dos</w:t>
      </w:r>
      <w:r>
        <w:rPr>
          <w:spacing w:val="1"/>
          <w:sz w:val="24"/>
        </w:rPr>
        <w:t> </w:t>
      </w:r>
      <w:r>
        <w:rPr>
          <w:sz w:val="24"/>
        </w:rPr>
        <w:t>correios</w:t>
      </w:r>
      <w:r>
        <w:rPr>
          <w:spacing w:val="-1"/>
          <w:sz w:val="24"/>
        </w:rPr>
        <w:t> </w:t>
      </w:r>
      <w:r>
        <w:rPr>
          <w:sz w:val="24"/>
        </w:rPr>
        <w:t>atualmente alugado</w:t>
      </w:r>
      <w:r>
        <w:rPr>
          <w:spacing w:val="-1"/>
          <w:sz w:val="24"/>
        </w:rPr>
        <w:t> </w:t>
      </w:r>
      <w:r>
        <w:rPr>
          <w:sz w:val="24"/>
        </w:rPr>
        <w:t>mediante contrato de</w:t>
      </w:r>
      <w:r>
        <w:rPr>
          <w:spacing w:val="1"/>
          <w:sz w:val="24"/>
        </w:rPr>
        <w:t> </w:t>
      </w:r>
      <w:r>
        <w:rPr>
          <w:sz w:val="24"/>
        </w:rPr>
        <w:t>locação.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360" w:lineRule="auto" w:before="0" w:after="0"/>
        <w:ind w:left="825" w:right="29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398" w:right="108" w:firstLine="1701"/>
        <w:jc w:val="both"/>
      </w:pP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estimativo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tramitação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procedimento licitatório para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contratação dos</w:t>
      </w:r>
      <w:r>
        <w:rPr>
          <w:spacing w:val="-1"/>
        </w:rPr>
        <w:t> </w:t>
      </w:r>
      <w:r>
        <w:rPr/>
        <w:t>serviços.</w:t>
      </w:r>
    </w:p>
    <w:p>
      <w:pPr>
        <w:pStyle w:val="BodyText"/>
        <w:spacing w:line="360" w:lineRule="auto"/>
        <w:ind w:left="398" w:right="106" w:firstLine="1701"/>
        <w:jc w:val="both"/>
      </w:pPr>
      <w:r>
        <w:rPr/>
        <w:t>Prover os devidos acessos à contratada, de modo que a mesma possa</w:t>
      </w:r>
      <w:r>
        <w:rPr>
          <w:spacing w:val="1"/>
        </w:rPr>
        <w:t> </w:t>
      </w:r>
      <w:r>
        <w:rPr/>
        <w:t>executar satisfatoriamente os serviços, inclusive definindo horários para execução dos</w:t>
      </w:r>
      <w:r>
        <w:rPr>
          <w:spacing w:val="1"/>
        </w:rPr>
        <w:t> </w:t>
      </w:r>
      <w:r>
        <w:rPr/>
        <w:t>mesmos,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de armazenamento de</w:t>
      </w:r>
      <w:r>
        <w:rPr>
          <w:spacing w:val="-1"/>
        </w:rPr>
        <w:t> </w:t>
      </w:r>
      <w:r>
        <w:rPr/>
        <w:t>insumos,</w:t>
      </w:r>
      <w:r>
        <w:rPr>
          <w:spacing w:val="-3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</w:t>
      </w:r>
      <w:r>
        <w:rPr>
          <w:spacing w:val="-6"/>
        </w:rPr>
        <w:t> </w:t>
      </w:r>
      <w:r>
        <w:rPr/>
        <w:t>dos</w:t>
      </w:r>
      <w:r>
        <w:rPr>
          <w:spacing w:val="-1"/>
        </w:rPr>
        <w:t> </w:t>
      </w:r>
      <w:r>
        <w:rPr/>
        <w:t>operários</w:t>
      </w:r>
      <w:r>
        <w:rPr>
          <w:spacing w:val="-3"/>
        </w:rPr>
        <w:t> </w:t>
      </w:r>
      <w:r>
        <w:rPr/>
        <w:t>etc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398" w:right="104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69/2023 de acompanhamento e fiscalização de obras, visto</w:t>
      </w:r>
      <w:r>
        <w:rPr>
          <w:spacing w:val="1"/>
        </w:rPr>
        <w:t> </w:t>
      </w:r>
      <w:r>
        <w:rPr/>
        <w:t>que o presente pleito exige fiscalização exercida por mão de obra especializada na 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Engenharia/Arquitetura,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resguardadas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5194/1966,</w:t>
      </w:r>
      <w:r>
        <w:rPr>
          <w:spacing w:val="1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n.</w:t>
      </w:r>
      <w:r>
        <w:rPr>
          <w:spacing w:val="-4"/>
        </w:rPr>
        <w:t> </w:t>
      </w:r>
      <w:r>
        <w:rPr/>
        <w:t>1010/2005/</w:t>
      </w:r>
      <w:r>
        <w:rPr>
          <w:spacing w:val="-1"/>
        </w:rPr>
        <w:t> </w:t>
      </w:r>
      <w:r>
        <w:rPr/>
        <w:t>CONFEA,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21/2012/CAU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n.</w:t>
      </w:r>
      <w:r>
        <w:rPr>
          <w:spacing w:val="-4"/>
        </w:rPr>
        <w:t> </w:t>
      </w:r>
      <w:r>
        <w:rPr/>
        <w:t>14.133/2021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398" w:right="105" w:firstLine="1701"/>
        <w:jc w:val="both"/>
      </w:pP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§1º,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14.133/2021,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 socioambiental e de acessibilidade previstos nas especificações técnicas</w:t>
      </w:r>
      <w:r>
        <w:rPr>
          <w:spacing w:val="1"/>
        </w:rPr>
        <w:t> </w:t>
      </w:r>
      <w:r>
        <w:rPr/>
        <w:t>do objeto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projetos</w:t>
      </w:r>
      <w:r>
        <w:rPr>
          <w:spacing w:val="-1"/>
        </w:rPr>
        <w:t> </w:t>
      </w:r>
      <w:r>
        <w:rPr/>
        <w:t>executivos,</w:t>
      </w:r>
      <w:r>
        <w:rPr>
          <w:spacing w:val="1"/>
        </w:rPr>
        <w:t> </w:t>
      </w:r>
      <w:r>
        <w:rPr/>
        <w:t>anexos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 Básico.</w:t>
      </w:r>
    </w:p>
    <w:p>
      <w:pPr>
        <w:pStyle w:val="BodyText"/>
        <w:spacing w:before="1"/>
        <w:ind w:left="2100"/>
        <w:jc w:val="both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Licitações,</w:t>
      </w:r>
      <w:r>
        <w:rPr>
          <w:spacing w:val="-5"/>
        </w:rPr>
        <w:t> </w:t>
      </w:r>
      <w:r>
        <w:rPr/>
        <w:t>observa-se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que:</w:t>
      </w:r>
    </w:p>
    <w:p>
      <w:pPr>
        <w:spacing w:line="360" w:lineRule="auto" w:before="136"/>
        <w:ind w:left="398" w:right="104" w:firstLine="170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prédio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abrigue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Almoxarifado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Departamento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Patrimônio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DMP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estabelecimentos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atividades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utilizadores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ambientais,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efetiva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potencialmente poluidores ou capazes, sob qualquer forma, de causar degradação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10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 n.</w:t>
      </w:r>
      <w:r>
        <w:rPr>
          <w:spacing w:val="-3"/>
          <w:sz w:val="24"/>
        </w:rPr>
        <w:t> </w:t>
      </w:r>
      <w:r>
        <w:rPr>
          <w:sz w:val="24"/>
        </w:rPr>
        <w:t>6.938/81.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152" w:footer="854" w:top="1440" w:bottom="1040" w:left="1020" w:right="740"/>
        </w:sectPr>
      </w:pPr>
    </w:p>
    <w:p>
      <w:pPr>
        <w:pStyle w:val="BodyText"/>
        <w:spacing w:before="9"/>
        <w:rPr>
          <w:sz w:val="17"/>
        </w:rPr>
      </w:pPr>
    </w:p>
    <w:p>
      <w:pPr>
        <w:spacing w:line="360" w:lineRule="auto" w:before="93"/>
        <w:ind w:left="398" w:right="105" w:firstLine="170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prédio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abrigue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Almoxarifado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Departamento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Patrimônio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DMP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empreendimentos passíveis de Estudo de impacto ambiental – EIA e relatório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 termos do </w:t>
      </w:r>
      <w:r>
        <w:rPr>
          <w:rFonts w:ascii="Arial" w:hAnsi="Arial"/>
          <w:b/>
          <w:sz w:val="24"/>
        </w:rPr>
        <w:t>Art. 2º da Resolução CONAMA n. 1/1986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pois não altera as condições do meio ambiente e/ou dos elementos presentes na região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imóvel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edificado,</w:t>
      </w:r>
      <w:r>
        <w:rPr>
          <w:spacing w:val="-4"/>
          <w:sz w:val="24"/>
        </w:rPr>
        <w:t> </w:t>
      </w:r>
      <w:r>
        <w:rPr>
          <w:sz w:val="24"/>
        </w:rPr>
        <w:t>em consequência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4"/>
          <w:sz w:val="24"/>
        </w:rPr>
        <w:t> </w:t>
      </w:r>
      <w:r>
        <w:rPr>
          <w:sz w:val="24"/>
        </w:rPr>
        <w:t>humanas</w:t>
      </w:r>
      <w:r>
        <w:rPr>
          <w:spacing w:val="-2"/>
          <w:sz w:val="24"/>
        </w:rPr>
        <w:t> </w:t>
      </w:r>
      <w:r>
        <w:rPr>
          <w:sz w:val="24"/>
        </w:rPr>
        <w:t>(antrópicas).</w:t>
      </w:r>
    </w:p>
    <w:p>
      <w:pPr>
        <w:spacing w:line="360" w:lineRule="auto" w:before="0"/>
        <w:ind w:left="398" w:right="106" w:firstLine="170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prédio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abrigue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Almoxarifado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Departamento de Material e Patrimônio – DMP </w:t>
      </w:r>
      <w:r>
        <w:rPr>
          <w:rFonts w:ascii="Arial" w:hAnsi="Arial"/>
          <w:b/>
          <w:sz w:val="24"/>
          <w:u w:val="thick"/>
        </w:rPr>
        <w:t>não tem necessidade de licenciamento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pois não se enquadra entre os empreendimentos e atividades sujeitas ao</w:t>
      </w:r>
      <w:r>
        <w:rPr>
          <w:spacing w:val="1"/>
          <w:sz w:val="24"/>
        </w:rPr>
        <w:t> </w:t>
      </w:r>
      <w:r>
        <w:rPr>
          <w:sz w:val="24"/>
        </w:rPr>
        <w:t>licenciamento ambiental, conforme </w:t>
      </w:r>
      <w:r>
        <w:rPr>
          <w:rFonts w:ascii="Arial" w:hAnsi="Arial"/>
          <w:b/>
          <w:sz w:val="24"/>
        </w:rPr>
        <w:t>Art. 2º, § 1º, Anexo I da Resolução CONAMA n.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398" w:right="106" w:firstLine="1701"/>
        <w:jc w:val="both"/>
      </w:pPr>
      <w:r>
        <w:rPr/>
        <w:t>Por fim, observando a Resolução CONAMA n. 307/2002, o projeto básico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destinação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sólidos,</w:t>
      </w:r>
      <w:r>
        <w:rPr>
          <w:spacing w:val="-64"/>
        </w:rPr>
        <w:t> </w:t>
      </w:r>
      <w:r>
        <w:rPr/>
        <w:t>comuns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1" w:after="0"/>
        <w:ind w:left="825" w:right="0" w:hanging="428"/>
        <w:jc w:val="left"/>
      </w:pPr>
      <w:r>
        <w:rPr/>
        <w:t>POSICIONAMENTO</w:t>
      </w:r>
      <w:r>
        <w:rPr>
          <w:spacing w:val="-4"/>
        </w:rPr>
        <w:t> </w:t>
      </w:r>
      <w:r>
        <w:rPr/>
        <w:t>CONCLUSIVO</w:t>
      </w:r>
      <w:r>
        <w:rPr>
          <w:spacing w:val="-3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398" w:right="105" w:firstLine="1701"/>
        <w:jc w:val="both"/>
      </w:pPr>
      <w:r>
        <w:rPr/>
        <w:t>O projeto de edificação que abrigue o Almoxarifado do Departamento de</w:t>
      </w:r>
      <w:r>
        <w:rPr>
          <w:spacing w:val="1"/>
        </w:rPr>
        <w:t> </w:t>
      </w:r>
      <w:r>
        <w:rPr/>
        <w:t>Material e Patrimônio – DMP do TJMT, elaborado pelo Departamento de Obras do TJMT,</w:t>
      </w:r>
      <w:r>
        <w:rPr>
          <w:spacing w:val="1"/>
        </w:rPr>
        <w:t> </w:t>
      </w:r>
      <w:r>
        <w:rPr/>
        <w:t>apresenta o conjunto de elementos necessários e suficientes, com nível de precisão</w:t>
      </w:r>
      <w:r>
        <w:rPr>
          <w:spacing w:val="1"/>
        </w:rPr>
        <w:t> </w:t>
      </w:r>
      <w:r>
        <w:rPr/>
        <w:t>adequado, para caracterizar a obra pretendida, objeto da licitação, que asseguram a</w:t>
      </w:r>
      <w:r>
        <w:rPr>
          <w:spacing w:val="1"/>
        </w:rPr>
        <w:t> </w:t>
      </w:r>
      <w:r>
        <w:rPr/>
        <w:t>viabilidade</w:t>
      </w:r>
      <w:r>
        <w:rPr>
          <w:spacing w:val="-1"/>
        </w:rPr>
        <w:t> </w:t>
      </w:r>
      <w:r>
        <w:rPr/>
        <w:t>técnica e</w:t>
      </w:r>
      <w:r>
        <w:rPr>
          <w:spacing w:val="-3"/>
        </w:rPr>
        <w:t> </w:t>
      </w:r>
      <w:r>
        <w:rPr/>
        <w:t>que possibilitam a correta elaboração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custos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obra.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6540"/>
      </w:pPr>
      <w:r>
        <w:rPr/>
        <w:t>Cuiabá,</w:t>
      </w:r>
      <w:r>
        <w:rPr>
          <w:spacing w:val="-4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fevereiro 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before="11"/>
        <w:rPr>
          <w:sz w:val="23"/>
        </w:rPr>
      </w:pPr>
    </w:p>
    <w:p>
      <w:pPr>
        <w:spacing w:line="229" w:lineRule="exact" w:before="0"/>
        <w:ind w:left="3347" w:right="306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line="275" w:lineRule="exact" w:before="0"/>
        <w:ind w:left="3347" w:right="306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2"/>
        <w:ind w:left="3371" w:right="308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p>
      <w:pPr>
        <w:spacing w:after="0"/>
        <w:jc w:val="center"/>
        <w:rPr>
          <w:sz w:val="20"/>
        </w:rPr>
        <w:sectPr>
          <w:pgSz w:w="11910" w:h="16850"/>
          <w:pgMar w:header="152" w:footer="854" w:top="1440" w:bottom="1040" w:left="1020" w:right="74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671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21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AD:21230000-C5A7-0678-7CC2-08DC2F2A29B2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7"/>
      <w:footerReference w:type="default" r:id="rId18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359985pt;margin-top:788.599976pt;width:76.05pt;height:14pt;mso-position-horizontal-relative:page;mso-position-vertical-relative:page;z-index:-1588992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7872" from="70.919998pt,785.705994pt" to="537.240020pt,785.705994pt" stroked="true" strokeweight=".78pt" strokecolor="#000000">
          <v:stroke dashstyle="solid"/>
          <w10:wrap type="none"/>
        </v:line>
      </w:pict>
    </w:r>
    <w:r>
      <w:rPr/>
      <w:pict>
        <v:shape style="position:absolute;margin-left:272.239990pt;margin-top:788.599976pt;width:82.3pt;height:14pt;mso-position-horizontal-relative:page;mso-position-vertical-relative:page;z-index:-1588736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5536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3pt;height:39.65pt;mso-position-horizontal-relative:page;mso-position-vertical-relative:page;z-index:-15890432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7072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88896" from="113.519997pt,72.641983pt" to="523.302735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pt;height:39.65pt;mso-position-horizontal-relative:page;mso-position-vertical-relative:page;z-index:-15888384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96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"/>
      <w:lvlJc w:val="left"/>
      <w:pPr>
        <w:ind w:left="183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8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38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gestaoestrategica.tjmt.jus.br/pagina/63c9cb82526d9d001b22ccdf" TargetMode="External"/><Relationship Id="rId18" Type="http://schemas.openxmlformats.org/officeDocument/2006/relationships/footer" Target="footer3.xml"/><Relationship Id="rId3" Type="http://schemas.openxmlformats.org/officeDocument/2006/relationships/theme" Target="theme/theme1.xml"/><Relationship Id="rId21" Type="http://schemas.openxmlformats.org/officeDocument/2006/relationships/hyperlink" Target="https://todojud.tjmt.jus.br/" TargetMode="External"/><Relationship Id="rId7" Type="http://schemas.openxmlformats.org/officeDocument/2006/relationships/header" Target="header2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24" Type="http://schemas.openxmlformats.org/officeDocument/2006/relationships/customXml" Target="../customXml/item1.xml"/><Relationship Id="rId5" Type="http://schemas.openxmlformats.org/officeDocument/2006/relationships/header" Target="header1.xml"/><Relationship Id="rId15" Type="http://schemas.openxmlformats.org/officeDocument/2006/relationships/hyperlink" Target="https://gestaoestrategica.tjmt.jus.br/pagina/6091ab356fe764001bd6d4df" TargetMode="External"/><Relationship Id="rId23" Type="http://schemas.openxmlformats.org/officeDocument/2006/relationships/numbering" Target="numbering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288D8-5080-4B3C-92B9-C1335A2CC4F4}"/>
</file>

<file path=customXml/itemProps2.xml><?xml version="1.0" encoding="utf-8"?>
<ds:datastoreItem xmlns:ds="http://schemas.openxmlformats.org/officeDocument/2006/customXml" ds:itemID="{5471FCC6-DD17-432B-B207-605639BE4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Batista De Lima Moraes</dc:creator>
  <dc:title>TRIBUNAL DE CONTAS DA UNIÃO</dc:title>
  <dcterms:created xsi:type="dcterms:W3CDTF">2024-03-14T17:17:55Z</dcterms:created>
  <dcterms:modified xsi:type="dcterms:W3CDTF">2024-03-14T17:17:55Z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2024-03-14T00:00:00Z</vt:filetime>
  </property>
</Properties>
</file>