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460/2021-DF</w:t>
      </w:r>
      <w:r>
        <w:rPr>
          <w:spacing w:val="1"/>
        </w:rPr>
        <w:t> </w:t>
      </w:r>
      <w:r>
        <w:rPr/>
        <w:t>(expediente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0754149-</w:t>
      </w:r>
      <w:r>
        <w:rPr>
          <w:spacing w:val="1"/>
        </w:rPr>
        <w:t> </w:t>
      </w:r>
      <w:r>
        <w:rPr/>
        <w:t>78.2021.8.11.0003), de 03/11/2021, subscrito pelo Juiz de Direito Dr. Renan Carlos Leão</w:t>
      </w:r>
      <w:r>
        <w:rPr>
          <w:spacing w:val="1"/>
        </w:rPr>
        <w:t> </w:t>
      </w:r>
      <w:r>
        <w:rPr/>
        <w:t>Pereira do Nascimento, Diretor do Foro da Comarca de Rondonópolis, por meio do qual</w:t>
      </w:r>
      <w:r>
        <w:rPr>
          <w:spacing w:val="1"/>
        </w:rPr>
        <w:t> </w:t>
      </w:r>
      <w:r>
        <w:rPr/>
        <w:t>solicita implementação de medidas que assegurem a acessibilidade física às pessoas</w:t>
      </w:r>
      <w:r>
        <w:rPr>
          <w:spacing w:val="1"/>
        </w:rPr>
        <w:t> </w:t>
      </w:r>
      <w:r>
        <w:rPr/>
        <w:t>portadoras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mobilidade</w:t>
      </w:r>
      <w:r>
        <w:rPr>
          <w:spacing w:val="1"/>
        </w:rPr>
        <w:t> </w:t>
      </w:r>
      <w:r>
        <w:rPr/>
        <w:t>reduzida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prédio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Rondonópolis.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Em 2022 este Departamento de Obras emitiu Projeto Básico n. 4/2022 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elevador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2/2022,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procedimento restou deserto. Em nova tentativa de contratação, ainda no exercício de</w:t>
      </w:r>
      <w:r>
        <w:rPr>
          <w:spacing w:val="1"/>
        </w:rPr>
        <w:t> </w:t>
      </w:r>
      <w:r>
        <w:rPr/>
        <w:t>2022, emitiu-se o Projeto Básico n. 6/2022, por meio da Tomada de Preço n. 3/2022, a</w:t>
      </w:r>
      <w:r>
        <w:rPr>
          <w:spacing w:val="1"/>
        </w:rPr>
        <w:t> </w:t>
      </w:r>
      <w:r>
        <w:rPr/>
        <w:t>qual</w:t>
      </w:r>
      <w:r>
        <w:rPr>
          <w:spacing w:val="-1"/>
        </w:rPr>
        <w:t> </w:t>
      </w:r>
      <w:r>
        <w:rPr/>
        <w:t>também</w:t>
      </w:r>
      <w:r>
        <w:rPr>
          <w:spacing w:val="2"/>
        </w:rPr>
        <w:t> </w:t>
      </w:r>
      <w:r>
        <w:rPr/>
        <w:t>restou</w:t>
      </w:r>
      <w:r>
        <w:rPr>
          <w:spacing w:val="-1"/>
        </w:rPr>
        <w:t> </w:t>
      </w:r>
      <w:r>
        <w:rPr/>
        <w:t>deserta.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Diante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arquitetônica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pavimentos</w:t>
      </w:r>
      <w:r>
        <w:rPr>
          <w:spacing w:val="54"/>
        </w:rPr>
        <w:t> </w:t>
      </w:r>
      <w:r>
        <w:rPr/>
        <w:t>da</w:t>
      </w:r>
      <w:r>
        <w:rPr>
          <w:spacing w:val="56"/>
        </w:rPr>
        <w:t> </w:t>
      </w:r>
      <w:r>
        <w:rPr/>
        <w:t>sede</w:t>
      </w:r>
      <w:r>
        <w:rPr>
          <w:spacing w:val="54"/>
        </w:rPr>
        <w:t> </w:t>
      </w:r>
      <w:r>
        <w:rPr/>
        <w:t>do</w:t>
      </w:r>
      <w:r>
        <w:rPr>
          <w:spacing w:val="55"/>
        </w:rPr>
        <w:t> </w:t>
      </w:r>
      <w:r>
        <w:rPr/>
        <w:t>Fórum</w:t>
      </w:r>
      <w:r>
        <w:rPr>
          <w:spacing w:val="57"/>
        </w:rPr>
        <w:t> </w:t>
      </w:r>
      <w:r>
        <w:rPr/>
        <w:t>da</w:t>
      </w:r>
      <w:r>
        <w:rPr>
          <w:spacing w:val="55"/>
        </w:rPr>
        <w:t> </w:t>
      </w:r>
      <w:r>
        <w:rPr/>
        <w:t>Comarca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Rondonópolis,</w:t>
      </w:r>
      <w:r>
        <w:rPr>
          <w:spacing w:val="54"/>
        </w:rPr>
        <w:t> </w:t>
      </w:r>
      <w:r>
        <w:rPr/>
        <w:t>este</w:t>
      </w:r>
      <w:r>
        <w:rPr>
          <w:spacing w:val="56"/>
        </w:rPr>
        <w:t> </w:t>
      </w:r>
      <w:r>
        <w:rPr/>
        <w:t>Departamento</w:t>
      </w:r>
      <w:r>
        <w:rPr>
          <w:spacing w:val="56"/>
        </w:rPr>
        <w:t> </w:t>
      </w:r>
      <w:r>
        <w:rPr/>
        <w:t>de</w:t>
      </w:r>
      <w:r>
        <w:rPr>
          <w:spacing w:val="-65"/>
        </w:rPr>
        <w:t> </w:t>
      </w:r>
      <w:r>
        <w:rPr/>
        <w:t>Obras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 para confecção e instalação de 01 (um) elevador panorâmico externo social</w:t>
      </w:r>
      <w:r>
        <w:rPr>
          <w:spacing w:val="-64"/>
        </w:rPr>
        <w:t> </w:t>
      </w:r>
      <w:r>
        <w:rPr/>
        <w:t>para o</w:t>
      </w:r>
      <w:r>
        <w:rPr>
          <w:spacing w:val="-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Fórum</w:t>
      </w:r>
      <w:r>
        <w:rPr>
          <w:spacing w:val="-1"/>
        </w:rPr>
        <w:t> </w:t>
      </w:r>
      <w:r>
        <w:rPr/>
        <w:t>de Rondonópolis.</w:t>
      </w:r>
    </w:p>
    <w:p>
      <w:pPr>
        <w:pStyle w:val="BodyText"/>
        <w:spacing w:line="360" w:lineRule="auto"/>
        <w:ind w:left="118" w:right="104" w:firstLine="1276"/>
        <w:jc w:val="both"/>
      </w:pPr>
      <w:r>
        <w:rPr/>
        <w:t>A aquisição e instalação de equipamento de transporte vertical atende às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edifício,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contidos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114/2010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CNJ</w:t>
      </w:r>
      <w:r>
        <w:rPr>
          <w:spacing w:val="1"/>
        </w:rPr>
        <w:t> </w:t>
      </w:r>
      <w:r>
        <w:rPr/>
        <w:t>(https://atos.cnj.jus.br/atos/detalhar/146)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acessibilidade</w:t>
      </w:r>
      <w:r>
        <w:rPr>
          <w:spacing w:val="-3"/>
        </w:rPr>
        <w:t> </w:t>
      </w:r>
      <w:r>
        <w:rPr/>
        <w:t>a todas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usuários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desse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/>
        <w:jc w:val="center"/>
        <w:rPr>
          <w:rFonts w:ascii="Calibri" w:hAnsi="Calibri"/>
        </w:rPr>
        <w:sectPr>
          <w:headerReference w:type="default" r:id="rId5"/>
          <w:type w:val="continuous"/>
          <w:pgSz w:w="11910" w:h="16850"/>
          <w:pgMar w:header="152" w:top="1400" w:bottom="280" w:left="1300" w:right="740"/>
          <w:pgNumType w:start="1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2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30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1463675</wp:posOffset>
            </wp:positionH>
            <wp:positionV relativeFrom="paragraph">
              <wp:posOffset>891360</wp:posOffset>
            </wp:positionV>
            <wp:extent cx="4869802" cy="462787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0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19998pt;margin-top:16.032001pt;width:466.35pt;height:.1pt;mso-position-horizontal-relative:page;mso-position-vertical-relative:paragraph;z-index:-15727616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6"/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BodyText"/>
        <w:ind w:left="45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71386" cy="7351013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0.919998pt;margin-top:17.227839pt;width:466.35pt;height:.1pt;mso-position-horizontal-relative:page;mso-position-vertical-relative:paragraph;z-index:-15726080;mso-wrap-distance-left:0;mso-wrap-distance-right:0" coordorigin="1418,345" coordsize="9327,0" path="m1418,345l10745,34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estimativa.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8666/93,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 apresentação</w:t>
      </w:r>
      <w:r>
        <w:rPr>
          <w:spacing w:val="-2"/>
        </w:rPr>
        <w:t> </w:t>
      </w:r>
      <w:r>
        <w:rPr/>
        <w:t>de garantia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QUANTIDADES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6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276"/>
        <w:jc w:val="both"/>
      </w:pPr>
      <w:r>
        <w:rPr/>
        <w:t>O projeto básico elaborado pelo Departamento de Obras do TJMT, apresenta</w:t>
      </w:r>
      <w:r>
        <w:rPr>
          <w:spacing w:val="1"/>
        </w:rPr>
        <w:t> </w:t>
      </w:r>
      <w:r>
        <w:rPr/>
        <w:t>o conjunto de elementos necessários e suficientes, com nível de precisão adequado, para</w:t>
      </w:r>
      <w:r>
        <w:rPr>
          <w:spacing w:val="1"/>
        </w:rPr>
        <w:t> </w:t>
      </w:r>
      <w:r>
        <w:rPr/>
        <w:t>caracterizar a obra pretendida, objeto da licitação, que asseguram a viabilidade técnica e</w:t>
      </w:r>
      <w:r>
        <w:rPr>
          <w:spacing w:val="1"/>
        </w:rPr>
        <w:t> </w:t>
      </w:r>
      <w:r>
        <w:rPr/>
        <w:t>que possibilitam a correta elaboração dos custos da obra, bem como a definição do </w:t>
      </w:r>
      <w:r>
        <w:rPr>
          <w:u w:val="single"/>
        </w:rPr>
        <w:t>prazo</w:t>
      </w:r>
      <w:r>
        <w:rPr>
          <w:spacing w:val="1"/>
        </w:rPr>
        <w:t> </w:t>
      </w:r>
      <w:r>
        <w:rPr>
          <w:u w:val="single"/>
        </w:rPr>
        <w:t>de execução</w:t>
      </w:r>
      <w:r>
        <w:rPr>
          <w:spacing w:val="1"/>
          <w:u w:val="single"/>
        </w:rPr>
        <w:t> </w:t>
      </w:r>
      <w:r>
        <w:rPr>
          <w:u w:val="single"/>
        </w:rPr>
        <w:t>estimada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180</w:t>
      </w:r>
      <w:r>
        <w:rPr>
          <w:spacing w:val="1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Trata-se de confecção e instalação de 01 (um) elevador panorâmico externo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(duas)</w:t>
      </w:r>
      <w:r>
        <w:rPr>
          <w:spacing w:val="1"/>
        </w:rPr>
        <w:t> </w:t>
      </w:r>
      <w:r>
        <w:rPr/>
        <w:t>paradas,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600kg,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 para 08 (oito) pessoas; e ainda execução de torre estrutural em aço e vidro</w:t>
      </w:r>
      <w:r>
        <w:rPr>
          <w:spacing w:val="1"/>
        </w:rPr>
        <w:t> </w:t>
      </w:r>
      <w:r>
        <w:rPr/>
        <w:t>para sustentação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elevador.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entidades,</w:t>
      </w:r>
      <w:r>
        <w:rPr>
          <w:spacing w:val="10"/>
        </w:rPr>
        <w:t> </w:t>
      </w:r>
      <w:r>
        <w:rPr/>
        <w:t>executam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serviço</w:t>
      </w:r>
      <w:r>
        <w:rPr>
          <w:spacing w:val="10"/>
        </w:rPr>
        <w:t> </w:t>
      </w:r>
      <w:r>
        <w:rPr/>
        <w:t>pretendido.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configure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dita</w:t>
      </w:r>
      <w:r>
        <w:rPr>
          <w:spacing w:val="9"/>
        </w:rPr>
        <w:t> </w:t>
      </w:r>
      <w:r>
        <w:rPr/>
        <w:t>espécie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0.919998pt;margin-top:14.883565pt;width:466.35pt;height:.1pt;mso-position-horizontal-relative:page;mso-position-vertical-relative:paragraph;z-index:-15725056;mso-wrap-distance-left:0;mso-wrap-distance-right:0" coordorigin="1418,298" coordsize="9327,0" path="m1418,298l10745,29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4"/>
        <w:jc w:val="both"/>
      </w:pP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118" w:right="103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objeto; e através de empreitada por preço unitário que enseja na</w:t>
      </w:r>
      <w:r>
        <w:rPr>
          <w:spacing w:val="1"/>
        </w:rPr>
        <w:t> </w:t>
      </w:r>
      <w:r>
        <w:rPr/>
        <w:t>apuração de cada um dos itens que integram o projeto básico e executivo do objeto a ser</w:t>
      </w:r>
      <w:r>
        <w:rPr>
          <w:spacing w:val="1"/>
        </w:rPr>
        <w:t> </w:t>
      </w:r>
      <w:r>
        <w:rPr/>
        <w:t>licitado e contratado, apontando-se os respectivos quantitativos, seus preços unitários e o</w:t>
      </w:r>
      <w:r>
        <w:rPr>
          <w:spacing w:val="1"/>
        </w:rPr>
        <w:t> </w:t>
      </w:r>
      <w:r>
        <w:rPr/>
        <w:t>valor total de cada item, apurando-se, de tal forma, o valor total da contratação, e que há</w:t>
      </w:r>
      <w:r>
        <w:rPr>
          <w:spacing w:val="1"/>
        </w:rPr>
        <w:t> </w:t>
      </w:r>
      <w:r>
        <w:rPr/>
        <w:t>meios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definir</w:t>
      </w:r>
      <w:r>
        <w:rPr>
          <w:spacing w:val="-2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quantitativos</w:t>
      </w:r>
      <w:r>
        <w:rPr>
          <w:spacing w:val="-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4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R$ 302.441,99 </w:t>
      </w:r>
      <w:r>
        <w:rPr/>
        <w:t>(trezentos e dois mil, quatrocentos</w:t>
      </w:r>
      <w:r>
        <w:rPr>
          <w:spacing w:val="-64"/>
        </w:rPr>
        <w:t> </w:t>
      </w:r>
      <w:r>
        <w:rPr/>
        <w:t>e quarenta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um</w:t>
      </w:r>
      <w:r>
        <w:rPr>
          <w:spacing w:val="1"/>
        </w:rPr>
        <w:t> </w:t>
      </w:r>
      <w:r>
        <w:rPr/>
        <w:t>reais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noventa e</w:t>
      </w:r>
      <w:r>
        <w:rPr>
          <w:spacing w:val="-1"/>
        </w:rPr>
        <w:t> </w:t>
      </w:r>
      <w:r>
        <w:rPr/>
        <w:t>nove</w:t>
      </w:r>
      <w:r>
        <w:rPr>
          <w:spacing w:val="1"/>
        </w:rPr>
        <w:t> </w:t>
      </w:r>
      <w:r>
        <w:rPr/>
        <w:t>centavos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6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0.919998pt;margin-top:10.283369pt;width:466.35pt;height:.1pt;mso-position-horizontal-relative:page;mso-position-vertical-relative:paragraph;z-index:-15724032;mso-wrap-distance-left:0;mso-wrap-distance-right:0" coordorigin="1418,206" coordsize="9327,0" path="m1418,206l10745,20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222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05" w:firstLine="1560"/>
        <w:jc w:val="both"/>
      </w:pPr>
      <w:r>
        <w:rPr/>
        <w:t>Esta contratação destina-se à aquisição e instalação de equipamento de</w:t>
      </w:r>
      <w:r>
        <w:rPr>
          <w:spacing w:val="1"/>
        </w:rPr>
        <w:t> </w:t>
      </w:r>
      <w:r>
        <w:rPr/>
        <w:t>transporte</w:t>
      </w:r>
      <w:r>
        <w:rPr>
          <w:spacing w:val="23"/>
        </w:rPr>
        <w:t> </w:t>
      </w:r>
      <w:r>
        <w:rPr/>
        <w:t>vertical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atender</w:t>
      </w:r>
      <w:r>
        <w:rPr>
          <w:spacing w:val="22"/>
        </w:rPr>
        <w:t> </w:t>
      </w:r>
      <w:r>
        <w:rPr/>
        <w:t>as</w:t>
      </w:r>
      <w:r>
        <w:rPr>
          <w:spacing w:val="20"/>
        </w:rPr>
        <w:t> </w:t>
      </w:r>
      <w:r>
        <w:rPr/>
        <w:t>necessidades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acessibilidade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edifício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Fórum</w:t>
      </w:r>
      <w:r>
        <w:rPr>
          <w:spacing w:val="-64"/>
        </w:rPr>
        <w:t> </w:t>
      </w:r>
      <w:r>
        <w:rPr/>
        <w:t>de Rondonópolis.</w:t>
      </w:r>
      <w:r>
        <w:rPr>
          <w:spacing w:val="-2"/>
        </w:rPr>
        <w:t> </w:t>
      </w:r>
      <w:r>
        <w:rPr/>
        <w:t>Tais</w:t>
      </w:r>
      <w:r>
        <w:rPr>
          <w:spacing w:val="-3"/>
        </w:rPr>
        <w:t> </w:t>
      </w:r>
      <w:r>
        <w:rPr/>
        <w:t>serviços englobam</w:t>
      </w:r>
      <w:r>
        <w:rPr>
          <w:spacing w:val="1"/>
        </w:rPr>
        <w:t> </w:t>
      </w:r>
      <w:r>
        <w:rPr/>
        <w:t>resumidamente: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38" w:right="106" w:hanging="360"/>
        <w:jc w:val="both"/>
        <w:rPr>
          <w:sz w:val="24"/>
        </w:rPr>
      </w:pP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torre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sustentação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elevador,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fechamento em vidro laminado, para suportar uma carga estática, com altura de</w:t>
      </w:r>
      <w:r>
        <w:rPr>
          <w:spacing w:val="1"/>
          <w:sz w:val="24"/>
        </w:rPr>
        <w:t> </w:t>
      </w:r>
      <w:r>
        <w:rPr>
          <w:sz w:val="24"/>
        </w:rPr>
        <w:t>7,5m,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dimensões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1,65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1,65m,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peças</w:t>
      </w:r>
      <w:r>
        <w:rPr>
          <w:spacing w:val="1"/>
          <w:sz w:val="24"/>
        </w:rPr>
        <w:t> </w:t>
      </w:r>
      <w:r>
        <w:rPr>
          <w:sz w:val="24"/>
        </w:rPr>
        <w:t>pré</w:t>
      </w:r>
      <w:r>
        <w:rPr>
          <w:spacing w:val="1"/>
          <w:sz w:val="24"/>
        </w:rPr>
        <w:t> </w:t>
      </w:r>
      <w:r>
        <w:rPr>
          <w:sz w:val="24"/>
        </w:rPr>
        <w:t>montadas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parafusadas.</w:t>
      </w:r>
      <w:r>
        <w:rPr>
          <w:spacing w:val="-1"/>
          <w:sz w:val="24"/>
        </w:rPr>
        <w:t> </w:t>
      </w:r>
      <w:r>
        <w:rPr>
          <w:sz w:val="24"/>
        </w:rPr>
        <w:t>Pintura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estrutura</w:t>
      </w:r>
      <w:r>
        <w:rPr>
          <w:spacing w:val="-2"/>
          <w:sz w:val="24"/>
        </w:rPr>
        <w:t> </w:t>
      </w:r>
      <w:r>
        <w:rPr>
          <w:sz w:val="24"/>
        </w:rPr>
        <w:t>metálica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fundo e</w:t>
      </w:r>
      <w:r>
        <w:rPr>
          <w:spacing w:val="-3"/>
          <w:sz w:val="24"/>
        </w:rPr>
        <w:t> </w:t>
      </w:r>
      <w:r>
        <w:rPr>
          <w:sz w:val="24"/>
        </w:rPr>
        <w:t>tinta</w:t>
      </w:r>
      <w:r>
        <w:rPr>
          <w:spacing w:val="-2"/>
          <w:sz w:val="24"/>
        </w:rPr>
        <w:t> </w:t>
      </w:r>
      <w:r>
        <w:rPr>
          <w:sz w:val="24"/>
        </w:rPr>
        <w:t>anti</w:t>
      </w:r>
      <w:r>
        <w:rPr>
          <w:spacing w:val="-2"/>
          <w:sz w:val="24"/>
        </w:rPr>
        <w:t> </w:t>
      </w:r>
      <w:r>
        <w:rPr>
          <w:sz w:val="24"/>
        </w:rPr>
        <w:t>corrosivo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0" w:after="0"/>
        <w:ind w:left="684" w:right="0" w:hanging="207"/>
        <w:jc w:val="both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elevador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02</w:t>
      </w:r>
      <w:r>
        <w:rPr>
          <w:spacing w:val="-3"/>
          <w:sz w:val="24"/>
        </w:rPr>
        <w:t> </w:t>
      </w:r>
      <w:r>
        <w:rPr>
          <w:sz w:val="24"/>
        </w:rPr>
        <w:t>paradas,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capacidade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600kg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08</w:t>
      </w:r>
      <w:r>
        <w:rPr>
          <w:spacing w:val="-1"/>
          <w:sz w:val="24"/>
        </w:rPr>
        <w:t> </w:t>
      </w:r>
      <w:r>
        <w:rPr>
          <w:sz w:val="24"/>
        </w:rPr>
        <w:t>pessoas.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line="360" w:lineRule="auto" w:before="136"/>
        <w:ind w:left="11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70.919998pt;margin-top:17.207539pt;width:466.35pt;height:.1pt;mso-position-horizontal-relative:page;mso-position-vertical-relative:paragraph;z-index:-15723008;mso-wrap-distance-left:0;mso-wrap-distance-right:0" coordorigin="1418,344" coordsize="9327,0" path="m1418,344l10745,34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6" w:firstLine="1843"/>
        <w:jc w:val="both"/>
      </w:pPr>
      <w:r>
        <w:rPr/>
        <w:t>Conforme art. 33 da Lei n. 8666/93,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 w:before="1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819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350" w:lineRule="auto" w:before="140" w:after="0"/>
        <w:ind w:left="684" w:right="106" w:hanging="20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20"/>
          <w:sz w:val="24"/>
        </w:rPr>
        <w:t> </w:t>
      </w:r>
      <w:r>
        <w:rPr>
          <w:sz w:val="24"/>
        </w:rPr>
        <w:t>acessibilidade</w:t>
      </w:r>
      <w:r>
        <w:rPr>
          <w:spacing w:val="21"/>
          <w:sz w:val="24"/>
        </w:rPr>
        <w:t> </w:t>
      </w:r>
      <w:r>
        <w:rPr>
          <w:sz w:val="24"/>
        </w:rPr>
        <w:t>aos</w:t>
      </w:r>
      <w:r>
        <w:rPr>
          <w:spacing w:val="19"/>
          <w:sz w:val="24"/>
        </w:rPr>
        <w:t> </w:t>
      </w:r>
      <w:r>
        <w:rPr>
          <w:sz w:val="24"/>
        </w:rPr>
        <w:t>magistrados,</w:t>
      </w:r>
      <w:r>
        <w:rPr>
          <w:spacing w:val="21"/>
          <w:sz w:val="24"/>
        </w:rPr>
        <w:t> </w:t>
      </w:r>
      <w:r>
        <w:rPr>
          <w:sz w:val="24"/>
        </w:rPr>
        <w:t>servidores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jurisdicionados,</w:t>
      </w:r>
      <w:r>
        <w:rPr>
          <w:spacing w:val="22"/>
          <w:sz w:val="24"/>
        </w:rPr>
        <w:t> </w:t>
      </w:r>
      <w:r>
        <w:rPr>
          <w:sz w:val="24"/>
        </w:rPr>
        <w:t>gerando</w:t>
      </w:r>
      <w:r>
        <w:rPr>
          <w:spacing w:val="-64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otimização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trabalhos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0.919998pt;margin-top:14.569463pt;width:466.35pt;height:.1pt;mso-position-horizontal-relative:page;mso-position-vertical-relative:paragraph;z-index:-15721984;mso-wrap-distance-left:0;mso-wrap-distance-right:0" coordorigin="1418,291" coordsize="9327,0" path="m1418,291l10745,29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8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350" w:lineRule="auto" w:before="0" w:after="0"/>
        <w:ind w:left="684" w:right="108" w:hanging="360"/>
        <w:jc w:val="both"/>
        <w:rPr>
          <w:sz w:val="24"/>
        </w:rPr>
      </w:pP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estimativo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tramitação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procedimento licitatório para</w:t>
      </w:r>
      <w:r>
        <w:rPr>
          <w:spacing w:val="-1"/>
          <w:sz w:val="24"/>
        </w:rPr>
        <w:t> </w:t>
      </w:r>
      <w:r>
        <w:rPr>
          <w:sz w:val="24"/>
        </w:rPr>
        <w:t>a contratação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355" w:lineRule="auto" w:before="12" w:after="0"/>
        <w:ind w:left="684" w:right="104" w:hanging="360"/>
        <w:jc w:val="both"/>
        <w:rPr>
          <w:sz w:val="24"/>
        </w:rPr>
      </w:pPr>
      <w:r>
        <w:rPr>
          <w:sz w:val="24"/>
        </w:rPr>
        <w:t>Prover os devidos acessos à contratada, de modo que a mesma possa executar</w:t>
      </w:r>
      <w:r>
        <w:rPr>
          <w:spacing w:val="1"/>
          <w:sz w:val="24"/>
        </w:rPr>
        <w:t> </w:t>
      </w:r>
      <w:r>
        <w:rPr>
          <w:sz w:val="24"/>
        </w:rPr>
        <w:t>satisfatoriamente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definindo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mesmos,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armazenamento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insumos,</w:t>
      </w:r>
      <w:r>
        <w:rPr>
          <w:spacing w:val="-4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operários</w:t>
      </w:r>
      <w:r>
        <w:rPr>
          <w:spacing w:val="-4"/>
          <w:sz w:val="24"/>
        </w:rPr>
        <w:t> </w:t>
      </w:r>
      <w:r>
        <w:rPr>
          <w:sz w:val="24"/>
        </w:rPr>
        <w:t>etc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 Engenharia/Arquitetura, com atribuições resguardadas pela Lei n. 5194/1966, Lei n.</w:t>
      </w:r>
      <w:r>
        <w:rPr>
          <w:spacing w:val="1"/>
        </w:rPr>
        <w:t> </w:t>
      </w:r>
      <w:r>
        <w:rPr/>
        <w:t>8666/93, Resolução</w:t>
      </w:r>
      <w:r>
        <w:rPr>
          <w:spacing w:val="-2"/>
        </w:rPr>
        <w:t> </w:t>
      </w:r>
      <w:r>
        <w:rPr/>
        <w:t>n.</w:t>
      </w:r>
      <w:r>
        <w:rPr>
          <w:spacing w:val="-3"/>
        </w:rPr>
        <w:t> </w:t>
      </w:r>
      <w:r>
        <w:rPr/>
        <w:t>1010/2005/ CONFEA,</w:t>
      </w:r>
      <w:r>
        <w:rPr>
          <w:spacing w:val="-3"/>
        </w:rPr>
        <w:t> </w:t>
      </w:r>
      <w:r>
        <w:rPr/>
        <w:t>Resolução n.</w:t>
      </w:r>
      <w:r>
        <w:rPr>
          <w:spacing w:val="-3"/>
        </w:rPr>
        <w:t> </w:t>
      </w:r>
      <w:r>
        <w:rPr/>
        <w:t>21/2012/CAU.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spacing w:before="1"/>
        <w:ind w:left="1820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9"/>
        <w:ind w:left="118" w:right="105" w:firstLine="1701"/>
        <w:jc w:val="both"/>
        <w:rPr>
          <w:sz w:val="24"/>
        </w:rPr>
      </w:pPr>
      <w:r>
        <w:rPr>
          <w:sz w:val="24"/>
        </w:rPr>
        <w:t>A presente obra no edifício do Fórum da Comarca de Rondonópolis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estabelecimentos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atividades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ambientais, efetiva ou potencialmente poluidores ou capazes, sob qualquer forma,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de causar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degradação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sz w:val="24"/>
        </w:rPr>
        <w:t>, 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105" w:firstLine="1701"/>
        <w:jc w:val="both"/>
        <w:rPr>
          <w:rFonts w:ascii="Arial" w:hAnsi="Arial"/>
          <w:b/>
          <w:sz w:val="24"/>
        </w:rPr>
      </w:pPr>
      <w:r>
        <w:rPr>
          <w:sz w:val="24"/>
        </w:rPr>
        <w:t>A presente obra no edifício do Fórum da Comarca de Rondonópolis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1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</w:p>
    <w:p>
      <w:pPr>
        <w:pStyle w:val="Heading1"/>
        <w:ind w:left="118" w:firstLine="0"/>
        <w:jc w:val="both"/>
      </w:pPr>
      <w:r>
        <w:rPr>
          <w:u w:val="thick"/>
        </w:rPr>
        <w:t>–</w:t>
      </w:r>
      <w:r>
        <w:rPr>
          <w:spacing w:val="23"/>
          <w:u w:val="thick"/>
        </w:rPr>
        <w:t> </w:t>
      </w:r>
      <w:r>
        <w:rPr>
          <w:u w:val="thick"/>
        </w:rPr>
        <w:t>EIA</w:t>
      </w:r>
      <w:r>
        <w:rPr>
          <w:spacing w:val="14"/>
          <w:u w:val="thick"/>
        </w:rPr>
        <w:t> </w:t>
      </w:r>
      <w:r>
        <w:rPr>
          <w:u w:val="thick"/>
        </w:rPr>
        <w:t>e</w:t>
      </w:r>
      <w:r>
        <w:rPr>
          <w:spacing w:val="23"/>
          <w:u w:val="thick"/>
        </w:rPr>
        <w:t> </w:t>
      </w:r>
      <w:r>
        <w:rPr>
          <w:u w:val="thick"/>
        </w:rPr>
        <w:t>relatório</w:t>
      </w:r>
      <w:r>
        <w:rPr>
          <w:spacing w:val="22"/>
          <w:u w:val="thick"/>
        </w:rPr>
        <w:t> </w:t>
      </w:r>
      <w:r>
        <w:rPr>
          <w:u w:val="thick"/>
        </w:rPr>
        <w:t>de</w:t>
      </w:r>
      <w:r>
        <w:rPr>
          <w:spacing w:val="23"/>
          <w:u w:val="thick"/>
        </w:rPr>
        <w:t> </w:t>
      </w:r>
      <w:r>
        <w:rPr>
          <w:u w:val="thick"/>
        </w:rPr>
        <w:t>impacto</w:t>
      </w:r>
      <w:r>
        <w:rPr>
          <w:spacing w:val="22"/>
          <w:u w:val="thick"/>
        </w:rPr>
        <w:t> </w:t>
      </w:r>
      <w:r>
        <w:rPr>
          <w:u w:val="thick"/>
        </w:rPr>
        <w:t>ambiental</w:t>
      </w:r>
      <w:r>
        <w:rPr>
          <w:spacing w:val="23"/>
          <w:u w:val="thick"/>
        </w:rPr>
        <w:t> </w:t>
      </w:r>
      <w:r>
        <w:rPr>
          <w:u w:val="thick"/>
        </w:rPr>
        <w:t>–</w:t>
      </w:r>
      <w:r>
        <w:rPr>
          <w:spacing w:val="21"/>
          <w:u w:val="thick"/>
        </w:rPr>
        <w:t> </w:t>
      </w:r>
      <w:r>
        <w:rPr>
          <w:u w:val="thick"/>
        </w:rPr>
        <w:t>RIMA</w:t>
      </w:r>
      <w:r>
        <w:rPr/>
        <w:t>,</w:t>
      </w:r>
      <w:r>
        <w:rPr>
          <w:spacing w:val="23"/>
        </w:rPr>
        <w:t> </w:t>
      </w:r>
      <w:r>
        <w:rPr>
          <w:rFonts w:ascii="Arial MT" w:hAnsi="Arial MT"/>
          <w:b w:val="0"/>
        </w:rPr>
        <w:t>nos</w:t>
      </w:r>
      <w:r>
        <w:rPr>
          <w:rFonts w:ascii="Arial MT" w:hAnsi="Arial MT"/>
          <w:b w:val="0"/>
          <w:spacing w:val="23"/>
        </w:rPr>
        <w:t> </w:t>
      </w:r>
      <w:r>
        <w:rPr>
          <w:rFonts w:ascii="Arial MT" w:hAnsi="Arial MT"/>
          <w:b w:val="0"/>
        </w:rPr>
        <w:t>termos</w:t>
      </w:r>
      <w:r>
        <w:rPr>
          <w:rFonts w:ascii="Arial MT" w:hAnsi="Arial MT"/>
          <w:b w:val="0"/>
          <w:spacing w:val="20"/>
        </w:rPr>
        <w:t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21"/>
        </w:rPr>
        <w:t> </w:t>
      </w:r>
      <w:r>
        <w:rPr/>
        <w:t>Art.</w:t>
      </w:r>
      <w:r>
        <w:rPr>
          <w:spacing w:val="23"/>
        </w:rPr>
        <w:t> </w:t>
      </w:r>
      <w:r>
        <w:rPr/>
        <w:t>2º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Resolução</w:t>
      </w:r>
    </w:p>
    <w:p>
      <w:pPr>
        <w:pStyle w:val="BodyText"/>
        <w:spacing w:before="4"/>
        <w:rPr>
          <w:rFonts w:ascii="Arial"/>
          <w:b/>
          <w:sz w:val="29"/>
        </w:rPr>
      </w:pPr>
      <w:r>
        <w:rPr/>
        <w:pict>
          <v:shape style="position:absolute;margin-left:70.919998pt;margin-top:19.258018pt;width:466.35pt;height:.1pt;mso-position-horizontal-relative:page;mso-position-vertical-relative:paragraph;z-index:-15720960;mso-wrap-distance-left:0;mso-wrap-distance-right:0" coordorigin="1418,385" coordsize="9327,0" path="m1418,385l10745,38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8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426666pt;width:19.850pt;height:486.6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https://cia.tjmt.jus.br/publico/ValidarDocumento/default.aspx?codigoValidacao=BCF8D997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4"/>
        <w:jc w:val="both"/>
      </w:pPr>
      <w:r>
        <w:rPr>
          <w:rFonts w:ascii="Arial" w:hAnsi="Arial"/>
          <w:b/>
        </w:rPr>
        <w:t>CONAMA n. 1/1986</w:t>
      </w:r>
      <w:r>
        <w:rPr/>
        <w:t>, pois não altera as condições do meio ambiente e/ou dos elementos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edificado,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consequência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humanas</w:t>
      </w:r>
      <w:r>
        <w:rPr>
          <w:spacing w:val="-1"/>
        </w:rPr>
        <w:t> </w:t>
      </w:r>
      <w:r>
        <w:rPr/>
        <w:t>(antrópicas).</w:t>
      </w:r>
    </w:p>
    <w:p>
      <w:pPr>
        <w:spacing w:line="360" w:lineRule="auto" w:before="0"/>
        <w:ind w:left="118" w:right="105" w:firstLine="1701"/>
        <w:jc w:val="both"/>
        <w:rPr>
          <w:sz w:val="24"/>
        </w:rPr>
      </w:pPr>
      <w:r>
        <w:rPr>
          <w:sz w:val="24"/>
        </w:rPr>
        <w:t>A presente obra no edifício do Fórum da Comarca de Rondonópolis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necessidade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empreendimentos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atividades</w:t>
      </w:r>
      <w:r>
        <w:rPr>
          <w:spacing w:val="29"/>
          <w:sz w:val="24"/>
        </w:rPr>
        <w:t> </w:t>
      </w:r>
      <w:r>
        <w:rPr>
          <w:sz w:val="24"/>
        </w:rPr>
        <w:t>sujeitas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30"/>
          <w:sz w:val="24"/>
        </w:rPr>
        <w:t> </w:t>
      </w:r>
      <w:r>
        <w:rPr>
          <w:sz w:val="24"/>
        </w:rPr>
        <w:t>licenciamento</w:t>
      </w:r>
      <w:r>
        <w:rPr>
          <w:spacing w:val="31"/>
          <w:sz w:val="24"/>
        </w:rPr>
        <w:t> </w:t>
      </w:r>
      <w:r>
        <w:rPr>
          <w:sz w:val="24"/>
        </w:rPr>
        <w:t>ambiental,</w:t>
      </w:r>
      <w:r>
        <w:rPr>
          <w:spacing w:val="29"/>
          <w:sz w:val="24"/>
        </w:rPr>
        <w:t> </w:t>
      </w:r>
      <w:r>
        <w:rPr>
          <w:sz w:val="24"/>
        </w:rPr>
        <w:t>conforme</w:t>
      </w:r>
      <w:r>
        <w:rPr>
          <w:spacing w:val="33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2º,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Resolução CONAMA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1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line="360" w:lineRule="auto"/>
        <w:ind w:left="118" w:right="105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 ou seja, contratação de</w:t>
      </w:r>
      <w:r>
        <w:rPr>
          <w:spacing w:val="1"/>
        </w:rPr>
        <w:t> </w:t>
      </w:r>
      <w:r>
        <w:rPr/>
        <w:t>empresa especializada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confecção e</w:t>
      </w:r>
      <w:r>
        <w:rPr>
          <w:spacing w:val="1"/>
        </w:rPr>
        <w:t> </w:t>
      </w:r>
      <w:r>
        <w:rPr/>
        <w:t>instalação de</w:t>
      </w:r>
      <w:r>
        <w:rPr>
          <w:spacing w:val="-65"/>
        </w:rPr>
        <w:t> </w:t>
      </w:r>
      <w:r>
        <w:rPr/>
        <w:t>01 (um) elevador panorâmico externo social para o Fórum de Rondonópolis contratação</w:t>
      </w:r>
      <w:r>
        <w:rPr>
          <w:spacing w:val="1"/>
        </w:rPr>
        <w:t> </w:t>
      </w:r>
      <w:r>
        <w:rPr/>
        <w:t>mostra-se</w:t>
      </w:r>
      <w:r>
        <w:rPr>
          <w:spacing w:val="-2"/>
        </w:rPr>
        <w:t> </w:t>
      </w:r>
      <w:r>
        <w:rPr/>
        <w:t>tecnicamente possível e</w:t>
      </w:r>
      <w:r>
        <w:rPr>
          <w:spacing w:val="-2"/>
        </w:rPr>
        <w:t> </w:t>
      </w:r>
      <w:r>
        <w:rPr/>
        <w:t>fundamentadamente</w:t>
      </w:r>
      <w:r>
        <w:rPr>
          <w:spacing w:val="-2"/>
        </w:rPr>
        <w:t> </w:t>
      </w:r>
      <w:r>
        <w:rPr/>
        <w:t>necessária.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right="104"/>
        <w:jc w:val="right"/>
      </w:pPr>
      <w:r>
        <w:rPr/>
        <w:t>Cuiabá,</w:t>
      </w:r>
      <w:r>
        <w:rPr>
          <w:spacing w:val="-4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1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0.919998pt;margin-top:10.858809pt;width:466.35pt;height:.1pt;mso-position-horizontal-relative:page;mso-position-vertical-relative:paragraph;z-index:-15719936;mso-wrap-distance-left:0;mso-wrap-distance-right:0" coordorigin="1418,217" coordsize="9327,0" path="m1418,217l10745,21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9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sectPr>
      <w:pgSz w:w="11910" w:h="16850"/>
      <w:pgMar w:header="152" w:footer="0" w:top="14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7616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150pt;height:39.65pt;mso-position-horizontal-relative:page;mso-position-vertical-relative:page;z-index:-1590835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07328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68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38" w:hanging="34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0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8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6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4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3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1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9" w:hanging="34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aoestrategica.tjmt.jus.br/pagina/63c9cb82526d9d001b22ccdf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hyperlink" Target="https://gestaoestrategica.tjmt.jus.br/pagina/6091ab356fe764001bd6d4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8A7B-6144-4519-865E-78F7713ECCCE}"/>
</file>

<file path=customXml/itemProps2.xml><?xml version="1.0" encoding="utf-8"?>
<ds:datastoreItem xmlns:ds="http://schemas.openxmlformats.org/officeDocument/2006/customXml" ds:itemID="{61FBF483-F834-4882-B4F2-425A33B57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2024-03-13T20:57:47Z</dcterms:created>
  <dcterms:modified xsi:type="dcterms:W3CDTF">2024-03-13T20:57:47Z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</Properties>
</file>