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7"/>
        <w:rPr>
          <w:rFonts w:ascii="Times New Roman"/>
          <w:sz w:val="4"/>
        </w:rPr>
      </w:pPr>
    </w:p>
    <w:p>
      <w:pPr>
        <w:pStyle w:val="BodyText"/>
        <w:spacing w:line="20" w:lineRule="exact"/>
        <w:ind w:left="618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5659120" cy="7620"/>
                <wp:effectExtent l="9525" t="0" r="0" b="1905"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5659120" cy="7620"/>
                          <a:chExt cx="5659120" cy="762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3505"/>
                            <a:ext cx="5659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9120" h="0">
                                <a:moveTo>
                                  <a:pt x="0" y="0"/>
                                </a:moveTo>
                                <a:lnTo>
                                  <a:pt x="5658612" y="0"/>
                                </a:lnTo>
                              </a:path>
                            </a:pathLst>
                          </a:custGeom>
                          <a:ln w="70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45.6pt;height:.6pt;mso-position-horizontal-relative:char;mso-position-vertical-relative:line" id="docshapegroup2" coordorigin="0,0" coordsize="8912,12">
                <v:line style="position:absolute" from="0,6" to="8911,6" stroked="true" strokeweight=".552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pStyle w:val="BodyText"/>
        <w:spacing w:before="4"/>
        <w:rPr>
          <w:rFonts w:ascii="Times New Roman"/>
        </w:rPr>
      </w:pPr>
    </w:p>
    <w:p>
      <w:pPr>
        <w:pStyle w:val="Heading1"/>
        <w:ind w:left="507" w:right="5" w:firstLine="0"/>
        <w:jc w:val="center"/>
      </w:pPr>
      <w:r>
        <w:rPr/>
        <w:t>ESTUDO</w:t>
      </w:r>
      <w:r>
        <w:rPr>
          <w:spacing w:val="-3"/>
        </w:rPr>
        <w:t> </w:t>
      </w:r>
      <w:r>
        <w:rPr/>
        <w:t>TÉCNICO</w:t>
      </w:r>
      <w:r>
        <w:rPr>
          <w:spacing w:val="-2"/>
        </w:rPr>
        <w:t> PRELIMINAR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ListParagraph"/>
        <w:numPr>
          <w:ilvl w:val="0"/>
          <w:numId w:val="1"/>
        </w:numPr>
        <w:tabs>
          <w:tab w:pos="900" w:val="left" w:leader="none"/>
        </w:tabs>
        <w:spacing w:line="240" w:lineRule="auto" w:before="0" w:after="0"/>
        <w:ind w:left="900" w:right="0" w:hanging="282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NECESSIDADE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DA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pacing w:val="-2"/>
          <w:sz w:val="24"/>
        </w:rPr>
        <w:t>CONTRATAÇÃO:</w:t>
      </w:r>
    </w:p>
    <w:p>
      <w:pPr>
        <w:pStyle w:val="BodyText"/>
        <w:spacing w:line="360" w:lineRule="auto" w:before="139"/>
        <w:ind w:left="618" w:right="101" w:firstLine="1418"/>
        <w:jc w:val="both"/>
      </w:pPr>
      <w:r>
        <w:rPr/>
        <w:t>Trata-se de solicitação da Comarca de Campo Verde (0006648- 18.2020.811.0000) para reforma com ampliação do edifício do Fórum diante do crescimento do estoque de processos, totalizando 4.826 processos em 2019, tendo como desdobramento arrecadação de custas e taxas judiciáis, esposado nos relatórios do Departamento de Controle e Arrecadação do TJMT.</w:t>
      </w:r>
    </w:p>
    <w:p>
      <w:pPr>
        <w:pStyle w:val="BodyText"/>
        <w:spacing w:line="360" w:lineRule="auto"/>
        <w:ind w:left="618" w:right="104" w:firstLine="141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666114</wp:posOffset>
                </wp:positionH>
                <wp:positionV relativeFrom="paragraph">
                  <wp:posOffset>786952</wp:posOffset>
                </wp:positionV>
                <wp:extent cx="6105525" cy="6168390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6105525" cy="6168390"/>
                          <a:chExt cx="6105525" cy="6168390"/>
                        </a:xfrm>
                      </wpg:grpSpPr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0"/>
                            <a:ext cx="6095998" cy="3428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39389"/>
                            <a:ext cx="6095998" cy="3428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449982pt;margin-top:61.964783pt;width:480.75pt;height:485.7pt;mso-position-horizontal-relative:page;mso-position-vertical-relative:paragraph;z-index:15729664" id="docshapegroup3" coordorigin="1049,1239" coordsize="9615,9714">
                <v:shape style="position:absolute;left:1064;top:1239;width:9600;height:5400" type="#_x0000_t75" id="docshape4" stroked="false">
                  <v:imagedata r:id="rId6" o:title=""/>
                </v:shape>
                <v:shape style="position:absolute;left:1049;top:5553;width:9600;height:5400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/>
        <w:t>A Comarca lembra ainda que a OAB da Subseção de Campo Verde, que também subscreve a referida solicitação, reivindica melhorias nas instalações físicas do Fórum diante da crescente demanda processual.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3509771</wp:posOffset>
                </wp:positionH>
                <wp:positionV relativeFrom="paragraph">
                  <wp:posOffset>178422</wp:posOffset>
                </wp:positionV>
                <wp:extent cx="915035" cy="152400"/>
                <wp:effectExtent l="0" t="0" r="0" b="0"/>
                <wp:wrapTopAndBottom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9150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0" w:lineRule="exact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Página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</w:rPr>
                              <w:t>1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spacing w:val="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6.359985pt;margin-top:14.049024pt;width:72.05pt;height:12pt;mso-position-horizontal-relative:page;mso-position-vertical-relative:paragraph;z-index:-15728128;mso-wrap-distance-left:0;mso-wrap-distance-right:0" type="#_x0000_t202" id="docshape6" filled="false" stroked="false">
                <v:textbox inset="0,0,0,0">
                  <w:txbxContent>
                    <w:p>
                      <w:pPr>
                        <w:pStyle w:val="BodyText"/>
                        <w:spacing w:line="240" w:lineRule="exact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Página</w:t>
                      </w:r>
                      <w:r>
                        <w:rPr>
                          <w:rFonts w:ascii="Calibri" w:hAnsi="Calibri"/>
                          <w:spacing w:val="-4"/>
                        </w:rPr>
                        <w:t> </w:t>
                      </w:r>
                      <w:r>
                        <w:rPr>
                          <w:rFonts w:ascii="Calibri" w:hAnsi="Calibri"/>
                        </w:rPr>
                        <w:t>1</w:t>
                      </w:r>
                      <w:r>
                        <w:rPr>
                          <w:rFonts w:ascii="Calibri" w:hAnsi="Calibri"/>
                          <w:spacing w:val="-1"/>
                        </w:rPr>
                        <w:t> </w:t>
                      </w:r>
                      <w:r>
                        <w:rPr>
                          <w:rFonts w:ascii="Calibri" w:hAnsi="Calibri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5"/>
                        </w:rPr>
                        <w:t>10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headerReference w:type="default" r:id="rId5"/>
          <w:type w:val="continuous"/>
          <w:pgSz w:w="11910" w:h="16850"/>
          <w:pgMar w:header="152" w:footer="0" w:top="1400" w:bottom="280" w:left="800" w:right="740"/>
          <w:pgNumType w:start="1"/>
        </w:sectPr>
      </w:pPr>
    </w:p>
    <w:p>
      <w:pPr>
        <w:pStyle w:val="BodyText"/>
        <w:spacing w:before="21"/>
      </w:pPr>
    </w:p>
    <w:p>
      <w:pPr>
        <w:pStyle w:val="Heading1"/>
        <w:numPr>
          <w:ilvl w:val="0"/>
          <w:numId w:val="1"/>
        </w:numPr>
        <w:tabs>
          <w:tab w:pos="899" w:val="left" w:leader="none"/>
          <w:tab w:pos="1045" w:val="left" w:leader="none"/>
        </w:tabs>
        <w:spacing w:line="360" w:lineRule="auto" w:before="0" w:after="0"/>
        <w:ind w:left="1045" w:right="524" w:hanging="428"/>
        <w:jc w:val="left"/>
      </w:pPr>
      <w:r>
        <w:rPr/>
        <w:t>ALINHAMENTO</w:t>
      </w:r>
      <w:r>
        <w:rPr>
          <w:spacing w:val="-3"/>
        </w:rPr>
        <w:t> </w:t>
      </w:r>
      <w:r>
        <w:rPr/>
        <w:t>ENTRE</w:t>
      </w:r>
      <w:r>
        <w:rPr>
          <w:spacing w:val="-1"/>
        </w:rPr>
        <w:t> </w:t>
      </w:r>
      <w:r>
        <w:rPr/>
        <w:t>A</w:t>
      </w:r>
      <w:r>
        <w:rPr>
          <w:spacing w:val="-8"/>
        </w:rPr>
        <w:t> </w:t>
      </w:r>
      <w:r>
        <w:rPr/>
        <w:t>DEMANDA</w:t>
      </w:r>
      <w:r>
        <w:rPr>
          <w:spacing w:val="-8"/>
        </w:rPr>
        <w:t> </w:t>
      </w:r>
      <w:r>
        <w:rPr/>
        <w:t>E</w:t>
      </w:r>
      <w:r>
        <w:rPr>
          <w:spacing w:val="-3"/>
        </w:rPr>
        <w:t> </w:t>
      </w:r>
      <w:r>
        <w:rPr/>
        <w:t>O</w:t>
      </w:r>
      <w:r>
        <w:rPr>
          <w:spacing w:val="-3"/>
        </w:rPr>
        <w:t> </w:t>
      </w:r>
      <w:r>
        <w:rPr/>
        <w:t>PLANEJAMENTO</w:t>
      </w:r>
      <w:r>
        <w:rPr>
          <w:spacing w:val="-3"/>
        </w:rPr>
        <w:t> </w:t>
      </w:r>
      <w:r>
        <w:rPr/>
        <w:t>ESTRATÉGICO</w:t>
      </w:r>
      <w:r>
        <w:rPr>
          <w:spacing w:val="-3"/>
        </w:rPr>
        <w:t> </w:t>
      </w:r>
      <w:r>
        <w:rPr/>
        <w:t>DA </w:t>
      </w:r>
      <w:r>
        <w:rPr>
          <w:spacing w:val="-2"/>
        </w:rPr>
        <w:t>INSTITUIÇÃO</w:t>
      </w:r>
    </w:p>
    <w:p>
      <w:pPr>
        <w:pStyle w:val="BodyText"/>
        <w:spacing w:before="137"/>
        <w:rPr>
          <w:rFonts w:ascii="Arial"/>
          <w:b/>
        </w:rPr>
      </w:pPr>
    </w:p>
    <w:p>
      <w:pPr>
        <w:pStyle w:val="BodyText"/>
        <w:spacing w:line="360" w:lineRule="auto"/>
        <w:ind w:left="618" w:right="102" w:firstLine="1276"/>
        <w:jc w:val="both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1463675</wp:posOffset>
            </wp:positionH>
            <wp:positionV relativeFrom="paragraph">
              <wp:posOffset>746401</wp:posOffset>
            </wp:positionV>
            <wp:extent cx="4869802" cy="4627878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9802" cy="4627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 contratação encontra-se respaldada no planejamento do Tribunal, em especial, no programa de aprimoramento do suporte e da gestão organizacional do Poder Judiciário, visando a melhoria das edificações.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5"/>
      </w:pPr>
    </w:p>
    <w:p>
      <w:pPr>
        <w:tabs>
          <w:tab w:pos="2754" w:val="left" w:leader="none"/>
          <w:tab w:pos="4179" w:val="left" w:leader="none"/>
          <w:tab w:pos="6191" w:val="left" w:leader="none"/>
          <w:tab w:pos="7498" w:val="left" w:leader="none"/>
          <w:tab w:pos="9246" w:val="left" w:leader="none"/>
        </w:tabs>
        <w:spacing w:before="0"/>
        <w:ind w:left="1045" w:right="0" w:firstLine="0"/>
        <w:jc w:val="left"/>
        <w:rPr>
          <w:sz w:val="20"/>
        </w:rPr>
      </w:pPr>
      <w:r>
        <w:rPr>
          <w:spacing w:val="-2"/>
          <w:sz w:val="20"/>
        </w:rPr>
        <w:t>Plano</w:t>
      </w:r>
      <w:r>
        <w:rPr>
          <w:sz w:val="20"/>
        </w:rPr>
        <w:tab/>
      </w:r>
      <w:r>
        <w:rPr>
          <w:spacing w:val="-5"/>
          <w:sz w:val="20"/>
        </w:rPr>
        <w:t>de</w:t>
      </w:r>
      <w:r>
        <w:rPr>
          <w:sz w:val="20"/>
        </w:rPr>
        <w:tab/>
      </w:r>
      <w:r>
        <w:rPr>
          <w:spacing w:val="-2"/>
          <w:sz w:val="20"/>
        </w:rPr>
        <w:t>diretrizes</w:t>
      </w:r>
      <w:r>
        <w:rPr>
          <w:sz w:val="20"/>
        </w:rPr>
        <w:tab/>
      </w:r>
      <w:r>
        <w:rPr>
          <w:spacing w:val="-10"/>
          <w:sz w:val="20"/>
        </w:rPr>
        <w:t>e</w:t>
      </w:r>
      <w:r>
        <w:rPr>
          <w:sz w:val="20"/>
        </w:rPr>
        <w:tab/>
      </w:r>
      <w:r>
        <w:rPr>
          <w:spacing w:val="-2"/>
          <w:sz w:val="20"/>
        </w:rPr>
        <w:t>metas</w:t>
      </w:r>
      <w:r>
        <w:rPr>
          <w:sz w:val="20"/>
        </w:rPr>
        <w:tab/>
      </w:r>
      <w:r>
        <w:rPr>
          <w:spacing w:val="-2"/>
          <w:sz w:val="20"/>
        </w:rPr>
        <w:t>2022-2023:</w:t>
      </w:r>
    </w:p>
    <w:p>
      <w:pPr>
        <w:spacing w:before="116"/>
        <w:ind w:left="1045" w:right="0" w:firstLine="0"/>
        <w:jc w:val="left"/>
        <w:rPr>
          <w:sz w:val="20"/>
        </w:rPr>
      </w:pPr>
      <w:hyperlink r:id="rId11">
        <w:r>
          <w:rPr>
            <w:color w:val="0000FF"/>
            <w:spacing w:val="-2"/>
            <w:sz w:val="20"/>
            <w:u w:val="single" w:color="0000FF"/>
          </w:rPr>
          <w:t>https://gestaoestrategica.tjmt.jus.br/pagina/63c9cb82526d9d001b22ccdf</w:t>
        </w:r>
      </w:hyperlink>
    </w:p>
    <w:p>
      <w:pPr>
        <w:spacing w:after="0"/>
        <w:jc w:val="left"/>
        <w:rPr>
          <w:sz w:val="20"/>
        </w:rPr>
        <w:sectPr>
          <w:headerReference w:type="default" r:id="rId8"/>
          <w:footerReference w:type="default" r:id="rId9"/>
          <w:pgSz w:w="11910" w:h="16850"/>
          <w:pgMar w:header="152" w:footer="934" w:top="1440" w:bottom="1120" w:left="800" w:right="740"/>
          <w:pgNumType w:start="2"/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ind w:left="957"/>
        <w:rPr>
          <w:sz w:val="20"/>
        </w:rPr>
      </w:pPr>
      <w:r>
        <w:rPr>
          <w:sz w:val="20"/>
        </w:rPr>
        <w:drawing>
          <wp:inline distT="0" distB="0" distL="0" distR="0">
            <wp:extent cx="5071386" cy="7351014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1386" cy="735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4"/>
        <w:rPr>
          <w:sz w:val="20"/>
        </w:rPr>
      </w:pPr>
    </w:p>
    <w:p>
      <w:pPr>
        <w:tabs>
          <w:tab w:pos="3236" w:val="left" w:leader="none"/>
          <w:tab w:pos="5204" w:val="left" w:leader="none"/>
          <w:tab w:pos="7261" w:val="left" w:leader="none"/>
          <w:tab w:pos="8677" w:val="left" w:leader="none"/>
          <w:tab w:pos="9757" w:val="left" w:leader="none"/>
        </w:tabs>
        <w:spacing w:before="0"/>
        <w:ind w:left="1045" w:right="0" w:firstLine="0"/>
        <w:jc w:val="left"/>
        <w:rPr>
          <w:sz w:val="20"/>
        </w:rPr>
      </w:pPr>
      <w:r>
        <w:rPr>
          <w:color w:val="333333"/>
          <w:spacing w:val="-2"/>
          <w:sz w:val="20"/>
        </w:rPr>
        <w:t>Planejamento</w:t>
      </w:r>
      <w:r>
        <w:rPr>
          <w:color w:val="333333"/>
          <w:sz w:val="20"/>
        </w:rPr>
        <w:tab/>
      </w:r>
      <w:r>
        <w:rPr>
          <w:color w:val="333333"/>
          <w:spacing w:val="-2"/>
          <w:sz w:val="20"/>
        </w:rPr>
        <w:t>Estratégico</w:t>
      </w:r>
      <w:r>
        <w:rPr>
          <w:color w:val="333333"/>
          <w:sz w:val="20"/>
        </w:rPr>
        <w:tab/>
      </w:r>
      <w:r>
        <w:rPr>
          <w:color w:val="333333"/>
          <w:spacing w:val="-2"/>
          <w:sz w:val="20"/>
        </w:rPr>
        <w:t>Participativo</w:t>
      </w:r>
      <w:r>
        <w:rPr>
          <w:color w:val="333333"/>
          <w:sz w:val="20"/>
        </w:rPr>
        <w:tab/>
      </w:r>
      <w:r>
        <w:rPr>
          <w:color w:val="333333"/>
          <w:spacing w:val="-4"/>
          <w:sz w:val="20"/>
        </w:rPr>
        <w:t>2021</w:t>
      </w:r>
      <w:r>
        <w:rPr>
          <w:color w:val="333333"/>
          <w:sz w:val="20"/>
        </w:rPr>
        <w:tab/>
      </w:r>
      <w:r>
        <w:rPr>
          <w:color w:val="333333"/>
          <w:spacing w:val="-10"/>
          <w:sz w:val="20"/>
        </w:rPr>
        <w:t>–</w:t>
      </w:r>
      <w:r>
        <w:rPr>
          <w:color w:val="333333"/>
          <w:sz w:val="20"/>
        </w:rPr>
        <w:tab/>
      </w:r>
      <w:r>
        <w:rPr>
          <w:color w:val="333333"/>
          <w:spacing w:val="-2"/>
          <w:sz w:val="20"/>
        </w:rPr>
        <w:t>2026:</w:t>
      </w:r>
    </w:p>
    <w:p>
      <w:pPr>
        <w:spacing w:before="116"/>
        <w:ind w:left="1045" w:right="0" w:firstLine="0"/>
        <w:jc w:val="left"/>
        <w:rPr>
          <w:sz w:val="20"/>
        </w:rPr>
      </w:pPr>
      <w:hyperlink r:id="rId13">
        <w:r>
          <w:rPr>
            <w:color w:val="0000FF"/>
            <w:spacing w:val="-2"/>
            <w:sz w:val="20"/>
            <w:u w:val="single" w:color="0000FF"/>
          </w:rPr>
          <w:t>https://gestaoestrategica.tjmt.jus.br/pagina/6091ab356fe764001bd6d4df</w:t>
        </w:r>
      </w:hyperlink>
    </w:p>
    <w:p>
      <w:pPr>
        <w:spacing w:after="0"/>
        <w:jc w:val="left"/>
        <w:rPr>
          <w:sz w:val="20"/>
        </w:rPr>
        <w:sectPr>
          <w:pgSz w:w="11910" w:h="16850"/>
          <w:pgMar w:header="152" w:footer="934" w:top="1440" w:bottom="1120" w:left="800" w:right="740"/>
        </w:sectPr>
      </w:pPr>
    </w:p>
    <w:p>
      <w:pPr>
        <w:pStyle w:val="BodyText"/>
        <w:spacing w:before="21"/>
      </w:pPr>
    </w:p>
    <w:p>
      <w:pPr>
        <w:pStyle w:val="Heading1"/>
        <w:numPr>
          <w:ilvl w:val="0"/>
          <w:numId w:val="1"/>
        </w:numPr>
        <w:tabs>
          <w:tab w:pos="900" w:val="left" w:leader="none"/>
        </w:tabs>
        <w:spacing w:line="240" w:lineRule="auto" w:before="0" w:after="0"/>
        <w:ind w:left="900" w:right="0" w:hanging="282"/>
        <w:jc w:val="left"/>
      </w:pPr>
      <w:r>
        <w:rPr/>
        <w:t>REQUISITOS</w:t>
      </w:r>
      <w:r>
        <w:rPr>
          <w:spacing w:val="-1"/>
        </w:rPr>
        <w:t> </w:t>
      </w:r>
      <w:r>
        <w:rPr/>
        <w:t>DA</w:t>
      </w:r>
      <w:r>
        <w:rPr>
          <w:spacing w:val="-8"/>
        </w:rPr>
        <w:t> </w:t>
      </w:r>
      <w:r>
        <w:rPr>
          <w:spacing w:val="-2"/>
        </w:rPr>
        <w:t>CONTRATAÇÃO:</w:t>
      </w:r>
    </w:p>
    <w:p>
      <w:pPr>
        <w:pStyle w:val="BodyText"/>
        <w:spacing w:line="360" w:lineRule="auto" w:before="137"/>
        <w:ind w:left="618" w:right="104" w:firstLine="1276"/>
        <w:jc w:val="both"/>
      </w:pPr>
      <w:r>
        <w:rPr/>
        <w:t>Os requisitos mínimos dos equipamentos, de materiais e serviços são determinados pelas especificações indicadas nos projetos de Arquitetura e Engenharia.</w:t>
      </w:r>
    </w:p>
    <w:p>
      <w:pPr>
        <w:pStyle w:val="BodyText"/>
        <w:spacing w:line="360" w:lineRule="auto"/>
        <w:ind w:left="618" w:right="105" w:firstLine="1276"/>
        <w:jc w:val="both"/>
      </w:pPr>
      <w:r>
        <w:rPr/>
        <w:t>Como se trata de obra de engenharia será exigido Atestado de Capacidade Técnica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empresa</w:t>
      </w:r>
      <w:r>
        <w:rPr>
          <w:spacing w:val="-2"/>
        </w:rPr>
        <w:t> </w:t>
      </w:r>
      <w:r>
        <w:rPr/>
        <w:t>licitante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Certidão de</w:t>
      </w:r>
      <w:r>
        <w:rPr>
          <w:spacing w:val="-2"/>
        </w:rPr>
        <w:t> </w:t>
      </w:r>
      <w:r>
        <w:rPr/>
        <w:t>Acervo Técnico</w:t>
      </w:r>
      <w:r>
        <w:rPr>
          <w:spacing w:val="-2"/>
        </w:rPr>
        <w:t> </w:t>
      </w:r>
      <w:r>
        <w:rPr/>
        <w:t>dos</w:t>
      </w:r>
      <w:r>
        <w:rPr>
          <w:spacing w:val="-3"/>
        </w:rPr>
        <w:t> </w:t>
      </w:r>
      <w:r>
        <w:rPr/>
        <w:t>profissionais</w:t>
      </w:r>
      <w:r>
        <w:rPr>
          <w:spacing w:val="-1"/>
        </w:rPr>
        <w:t> </w:t>
      </w:r>
      <w:r>
        <w:rPr/>
        <w:t>responsáveis técnicos, bem como o registro no Conselho Regional de Engenharia e Agronomia</w:t>
      </w:r>
      <w:r>
        <w:rPr>
          <w:spacing w:val="80"/>
        </w:rPr>
        <w:t> </w:t>
      </w:r>
      <w:r>
        <w:rPr/>
        <w:t>(CREA), ou Conselho de Arquitetura e Urbanismo (CAU), sempre em obediência às parcelas de maior relevância e valor significativo do objeto da licitação.</w:t>
      </w:r>
    </w:p>
    <w:p>
      <w:pPr>
        <w:pStyle w:val="BodyText"/>
        <w:spacing w:line="360" w:lineRule="auto" w:before="2"/>
        <w:ind w:left="618" w:right="105" w:firstLine="1276"/>
        <w:jc w:val="both"/>
      </w:pPr>
      <w:r>
        <w:rPr/>
        <w:t>Por se tratar de procedimento licitatório, consideramos necessária a apresentação de documentos relativos à qualificação econômico-financeiras, limitados ao que determina a Lei n. 14.133/2021, bem como a apresentação de garantia contratual.</w:t>
      </w:r>
    </w:p>
    <w:p>
      <w:pPr>
        <w:pStyle w:val="BodyText"/>
      </w:pPr>
    </w:p>
    <w:p>
      <w:pPr>
        <w:pStyle w:val="BodyText"/>
        <w:spacing w:before="274"/>
      </w:pPr>
    </w:p>
    <w:p>
      <w:pPr>
        <w:pStyle w:val="Heading1"/>
        <w:numPr>
          <w:ilvl w:val="0"/>
          <w:numId w:val="1"/>
        </w:numPr>
        <w:tabs>
          <w:tab w:pos="900" w:val="left" w:leader="none"/>
        </w:tabs>
        <w:spacing w:line="240" w:lineRule="auto" w:before="1" w:after="0"/>
        <w:ind w:left="900" w:right="0" w:hanging="282"/>
        <w:jc w:val="left"/>
      </w:pPr>
      <w:r>
        <w:rPr/>
        <w:t>ESTIMATIVA</w:t>
      </w:r>
      <w:r>
        <w:rPr>
          <w:spacing w:val="-10"/>
        </w:rPr>
        <w:t> </w:t>
      </w:r>
      <w:r>
        <w:rPr/>
        <w:t>DE</w:t>
      </w:r>
      <w:r>
        <w:rPr>
          <w:spacing w:val="-1"/>
        </w:rPr>
        <w:t> </w:t>
      </w:r>
      <w:r>
        <w:rPr/>
        <w:t>QUANTIDADES</w:t>
      </w:r>
      <w:r>
        <w:rPr>
          <w:spacing w:val="1"/>
        </w:rPr>
        <w:t> </w:t>
      </w:r>
      <w:r>
        <w:rPr/>
        <w:t>A</w:t>
      </w:r>
      <w:r>
        <w:rPr>
          <w:spacing w:val="-7"/>
        </w:rPr>
        <w:t> </w:t>
      </w:r>
      <w:r>
        <w:rPr/>
        <w:t>SEREM</w:t>
      </w:r>
      <w:r>
        <w:rPr>
          <w:spacing w:val="-3"/>
        </w:rPr>
        <w:t> </w:t>
      </w:r>
      <w:r>
        <w:rPr>
          <w:spacing w:val="-2"/>
        </w:rPr>
        <w:t>CONTRATADAS</w:t>
      </w:r>
    </w:p>
    <w:p>
      <w:pPr>
        <w:pStyle w:val="BodyText"/>
        <w:spacing w:before="275"/>
        <w:rPr>
          <w:rFonts w:ascii="Arial"/>
          <w:b/>
        </w:rPr>
      </w:pPr>
    </w:p>
    <w:p>
      <w:pPr>
        <w:pStyle w:val="BodyText"/>
        <w:spacing w:line="360" w:lineRule="auto" w:before="1"/>
        <w:ind w:left="618" w:right="104" w:firstLine="1276"/>
        <w:jc w:val="both"/>
      </w:pPr>
      <w:r>
        <w:rPr/>
        <w:t>O projeto de reforma com ampliação do edifício do Fórum de Campo Verde, elaborado pelo Departamento de Obras do TJMT, apresenta o conjunto de elementos necessários e suficientes, com nível de precisão adequado, para caracterizar a obra pretendida, objeto da licitação, que asseguram a viabilidade técnica e que possibilitam a correta elaboração dos custos da obra, bem como a definição do </w:t>
      </w:r>
      <w:r>
        <w:rPr>
          <w:u w:val="single"/>
        </w:rPr>
        <w:t>prazo de execução</w:t>
      </w:r>
      <w:r>
        <w:rPr/>
        <w:t> </w:t>
      </w:r>
      <w:r>
        <w:rPr>
          <w:u w:val="single"/>
        </w:rPr>
        <w:t>estimada em 730 dias</w:t>
      </w:r>
      <w:r>
        <w:rPr/>
        <w:t>.</w:t>
      </w:r>
    </w:p>
    <w:p>
      <w:pPr>
        <w:pStyle w:val="BodyText"/>
        <w:spacing w:line="360" w:lineRule="auto"/>
        <w:ind w:left="618" w:right="105" w:firstLine="1276"/>
        <w:jc w:val="both"/>
      </w:pPr>
      <w:r>
        <w:rPr/>
        <w:t>Trata-se de edificação</w:t>
      </w:r>
      <w:r>
        <w:rPr>
          <w:spacing w:val="-2"/>
        </w:rPr>
        <w:t> </w:t>
      </w:r>
      <w:r>
        <w:rPr/>
        <w:t>térrea de área construída existente de 1040,04m². Esta área será reformada e também receberá ampliação, igualmente térrea, de 1.402,81m² de área construída, totalizando área de intervenção de obra de 2.442,85m².</w:t>
      </w:r>
    </w:p>
    <w:p>
      <w:pPr>
        <w:pStyle w:val="ListParagraph"/>
        <w:numPr>
          <w:ilvl w:val="1"/>
          <w:numId w:val="1"/>
        </w:numPr>
        <w:tabs>
          <w:tab w:pos="899" w:val="left" w:leader="none"/>
          <w:tab w:pos="901" w:val="left" w:leader="none"/>
        </w:tabs>
        <w:spacing w:line="355" w:lineRule="auto" w:before="2" w:after="0"/>
        <w:ind w:left="901" w:right="105" w:hanging="284"/>
        <w:jc w:val="both"/>
        <w:rPr>
          <w:sz w:val="24"/>
        </w:rPr>
      </w:pPr>
      <w:r>
        <w:rPr>
          <w:sz w:val="24"/>
        </w:rPr>
        <w:t>Áreas a serem reformadas: Tribunal de Juri, arquivo, duas Secretarias e respectivos gabinetes e assessorias, sala de Oficiais de Justiça, sala da Defensoria Pública, sala</w:t>
      </w:r>
      <w:r>
        <w:rPr>
          <w:spacing w:val="40"/>
          <w:sz w:val="24"/>
        </w:rPr>
        <w:t> </w:t>
      </w:r>
      <w:r>
        <w:rPr>
          <w:sz w:val="24"/>
        </w:rPr>
        <w:t>da OAB, Depoimento sem dano/Especial</w:t>
      </w:r>
    </w:p>
    <w:p>
      <w:pPr>
        <w:pStyle w:val="ListParagraph"/>
        <w:numPr>
          <w:ilvl w:val="1"/>
          <w:numId w:val="1"/>
        </w:numPr>
        <w:tabs>
          <w:tab w:pos="899" w:val="left" w:leader="none"/>
          <w:tab w:pos="901" w:val="left" w:leader="none"/>
        </w:tabs>
        <w:spacing w:line="355" w:lineRule="auto" w:before="5" w:after="0"/>
        <w:ind w:left="901" w:right="103" w:hanging="284"/>
        <w:jc w:val="both"/>
        <w:rPr>
          <w:sz w:val="24"/>
        </w:rPr>
      </w:pPr>
      <w:r>
        <w:rPr>
          <w:sz w:val="24"/>
        </w:rPr>
        <w:t>Áreas</w:t>
      </w:r>
      <w:r>
        <w:rPr>
          <w:spacing w:val="-1"/>
          <w:sz w:val="24"/>
        </w:rPr>
        <w:t> </w:t>
      </w:r>
      <w:r>
        <w:rPr>
          <w:sz w:val="24"/>
        </w:rPr>
        <w:t>a serem ampliadas: Cejusc, Justiça Restaurativa, Recepção Principal, mais duas Secretarias e respectivos gabinetes e assessorias, Celas, um Juizado e Garagem de </w:t>
      </w:r>
      <w:r>
        <w:rPr>
          <w:spacing w:val="-2"/>
          <w:sz w:val="24"/>
        </w:rPr>
        <w:t>viaturas.</w:t>
      </w:r>
    </w:p>
    <w:p>
      <w:pPr>
        <w:spacing w:after="0" w:line="355" w:lineRule="auto"/>
        <w:jc w:val="both"/>
        <w:rPr>
          <w:sz w:val="24"/>
        </w:rPr>
        <w:sectPr>
          <w:pgSz w:w="11910" w:h="16850"/>
          <w:pgMar w:header="152" w:footer="934" w:top="1440" w:bottom="1120" w:left="800" w:right="740"/>
        </w:sectPr>
      </w:pPr>
    </w:p>
    <w:p>
      <w:pPr>
        <w:pStyle w:val="BodyText"/>
        <w:spacing w:before="173"/>
        <w:rPr>
          <w:sz w:val="20"/>
        </w:rPr>
      </w:pPr>
    </w:p>
    <w:p>
      <w:pPr>
        <w:pStyle w:val="BodyText"/>
        <w:ind w:left="112"/>
        <w:rPr>
          <w:sz w:val="20"/>
        </w:rPr>
      </w:pPr>
      <w:r>
        <w:rPr>
          <w:sz w:val="20"/>
        </w:rPr>
        <w:drawing>
          <wp:inline distT="0" distB="0" distL="0" distR="0">
            <wp:extent cx="6117245" cy="5803296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245" cy="580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</w:p>
    <w:p>
      <w:pPr>
        <w:pStyle w:val="BodyText"/>
        <w:spacing w:before="138"/>
      </w:pPr>
    </w:p>
    <w:p>
      <w:pPr>
        <w:pStyle w:val="Heading1"/>
        <w:numPr>
          <w:ilvl w:val="0"/>
          <w:numId w:val="1"/>
        </w:numPr>
        <w:tabs>
          <w:tab w:pos="900" w:val="left" w:leader="none"/>
        </w:tabs>
        <w:spacing w:line="240" w:lineRule="auto" w:before="0" w:after="0"/>
        <w:ind w:left="900" w:right="0" w:hanging="282"/>
        <w:jc w:val="left"/>
      </w:pPr>
      <w:r>
        <w:rPr/>
        <w:t>LEVANTAMENTO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-2"/>
        </w:rPr>
        <w:t>MERCADO</w:t>
      </w:r>
    </w:p>
    <w:p>
      <w:pPr>
        <w:pStyle w:val="BodyText"/>
        <w:spacing w:line="360" w:lineRule="auto" w:before="137"/>
        <w:ind w:left="618" w:right="104" w:firstLine="1418"/>
        <w:jc w:val="both"/>
      </w:pPr>
      <w:r>
        <w:rPr/>
        <w:t>É sabido que a Administração Pública poderá obter o objeto pretendido através da Execução Direta ou da Execução Indireta.</w:t>
      </w:r>
    </w:p>
    <w:p>
      <w:pPr>
        <w:pStyle w:val="BodyText"/>
        <w:spacing w:line="360" w:lineRule="auto"/>
        <w:ind w:left="618" w:right="103" w:firstLine="1418"/>
        <w:jc w:val="both"/>
      </w:pPr>
      <w:r>
        <w:rPr/>
        <w:t>Como Execução Direta do objeto pretendido, tem-se a hipótese em que a própria Administração Pública, através de seus próprios meios, ou seja, os seus próprios órgãos e entidades, executam o serviço pretendido. Para que se configure a dita espécie de execução, deverá a Administração Pública, efetivamente, deter a totalidade dos meios necessários à concretização do fim pretendido, ou seja, deverá deter toda a estrutura, expertise técnica, pessoal, etc à conclusão dos serviços pretendidos, sob pena de não se</w:t>
      </w:r>
    </w:p>
    <w:p>
      <w:pPr>
        <w:spacing w:after="0" w:line="360" w:lineRule="auto"/>
        <w:jc w:val="both"/>
        <w:sectPr>
          <w:pgSz w:w="11910" w:h="16850"/>
          <w:pgMar w:header="152" w:footer="934" w:top="1440" w:bottom="1120" w:left="800" w:right="740"/>
        </w:sectPr>
      </w:pPr>
    </w:p>
    <w:p>
      <w:pPr>
        <w:pStyle w:val="BodyText"/>
        <w:spacing w:before="21"/>
      </w:pPr>
    </w:p>
    <w:p>
      <w:pPr>
        <w:pStyle w:val="BodyText"/>
        <w:spacing w:line="360" w:lineRule="auto"/>
        <w:ind w:left="618" w:right="107"/>
        <w:jc w:val="both"/>
      </w:pPr>
      <w:r>
        <w:rPr/>
        <w:t>configurar a hipótese em questão, impondo a contratação de terceiro para sua execução, respeitadas as disposições inerentes ao processo licitatório.</w:t>
      </w:r>
    </w:p>
    <w:p>
      <w:pPr>
        <w:pStyle w:val="BodyText"/>
        <w:spacing w:line="360" w:lineRule="auto"/>
        <w:ind w:left="618" w:right="105" w:firstLine="1418"/>
        <w:jc w:val="both"/>
      </w:pPr>
      <w:r>
        <w:rPr/>
        <w:t>Já a Execução Indireta se dá quando a Administração Pública, para obter o que pretende, necessita contratar terceiros para executar o serviço necessitado ou fornecer o produto almejado. Tal espécie de execução do objeto contratado se dá através das seguintes formas: Empreitada por Preço Global; Empreitada por Preço Unitário; Tarefa; Empreitada Integral, contratação por tarefa, contratação integrada, contratação semi-integrada, fornecimento e prestação de serviço associado.</w:t>
      </w:r>
    </w:p>
    <w:p>
      <w:pPr>
        <w:pStyle w:val="BodyText"/>
        <w:spacing w:line="360" w:lineRule="auto" w:before="1"/>
        <w:ind w:left="618" w:right="103" w:firstLine="1560"/>
        <w:jc w:val="both"/>
      </w:pPr>
      <w:r>
        <w:rPr/>
        <w:t>Levando-se em conta as características do objeto a ser contratado, entende-se que a melhor solução para a contratação é a execução indireta, tendo em</w:t>
      </w:r>
      <w:r>
        <w:rPr>
          <w:spacing w:val="40"/>
        </w:rPr>
        <w:t> </w:t>
      </w:r>
      <w:r>
        <w:rPr/>
        <w:t>vista que o Poder Judiciário do Estado de Mato Grosso não detém os meios necessários</w:t>
      </w:r>
      <w:r>
        <w:rPr>
          <w:spacing w:val="80"/>
        </w:rPr>
        <w:t> </w:t>
      </w:r>
      <w:r>
        <w:rPr/>
        <w:t>à concretização do objeto; e através de empreitada por preço unitário que enseja na apuração de cada um dos itens que integram o projeto básico e executivo do objeto a ser licitado e contratado, apontando-se os respectivos quantitativos, seus preços unitários e o valor total de cada item, apurando-se, de tal forma, o valor total da contratação, e que há meios de definir claramente os aspectos quantitativos do objeto a ser executado.</w:t>
      </w:r>
    </w:p>
    <w:p>
      <w:pPr>
        <w:pStyle w:val="BodyText"/>
        <w:spacing w:before="137"/>
      </w:pPr>
    </w:p>
    <w:p>
      <w:pPr>
        <w:pStyle w:val="Heading1"/>
        <w:numPr>
          <w:ilvl w:val="0"/>
          <w:numId w:val="1"/>
        </w:numPr>
        <w:tabs>
          <w:tab w:pos="900" w:val="left" w:leader="none"/>
        </w:tabs>
        <w:spacing w:line="240" w:lineRule="auto" w:before="0" w:after="0"/>
        <w:ind w:left="900" w:right="0" w:hanging="282"/>
        <w:jc w:val="left"/>
      </w:pPr>
      <w:r>
        <w:rPr/>
        <w:t>ESTIMATIVA</w:t>
      </w:r>
      <w:r>
        <w:rPr>
          <w:spacing w:val="-6"/>
        </w:rPr>
        <w:t> </w:t>
      </w:r>
      <w:r>
        <w:rPr/>
        <w:t>DO VALOR</w:t>
      </w:r>
      <w:r>
        <w:rPr>
          <w:spacing w:val="-1"/>
        </w:rPr>
        <w:t> </w:t>
      </w:r>
      <w:r>
        <w:rPr/>
        <w:t>DA</w:t>
      </w:r>
      <w:r>
        <w:rPr>
          <w:spacing w:val="-5"/>
        </w:rPr>
        <w:t> </w:t>
      </w:r>
      <w:r>
        <w:rPr>
          <w:spacing w:val="-2"/>
        </w:rPr>
        <w:t>CONTRATAÇÃO</w:t>
      </w:r>
    </w:p>
    <w:p>
      <w:pPr>
        <w:pStyle w:val="BodyText"/>
        <w:spacing w:line="360" w:lineRule="auto" w:before="139"/>
        <w:ind w:left="618" w:right="105" w:firstLine="1560"/>
        <w:jc w:val="both"/>
      </w:pPr>
      <w:r>
        <w:rPr/>
        <w:t>O valor estimado será de </w:t>
      </w:r>
      <w:r>
        <w:rPr>
          <w:rFonts w:ascii="Arial" w:hAnsi="Arial"/>
          <w:b/>
        </w:rPr>
        <w:t>R$ 11.831.645,14 </w:t>
      </w:r>
      <w:r>
        <w:rPr/>
        <w:t>(onze milhões, oitocentos e trinta e um mil, seiscentos e quarenta e cinco reais e quatorze centavos).</w:t>
      </w:r>
    </w:p>
    <w:p>
      <w:pPr>
        <w:pStyle w:val="BodyText"/>
        <w:spacing w:line="360" w:lineRule="auto"/>
        <w:ind w:left="618" w:right="104" w:firstLine="1560"/>
        <w:jc w:val="both"/>
      </w:pPr>
      <w:r>
        <w:rPr/>
        <w:t>O custo global de obras e serviços executados pelos órgãos do Poder Judiciário são obtidos a partir de custos unitários de insumos ou serviços iguais ou menores que a mediana de seus correspondentes, no Sistema Nacional de Pesquisa de Custos e índices da Construção Civil (SINAPI), mantido e divulgado, na internet, pela Caixa Econômica Federal (Art. 9º da Res. 114/2010/CNJ).</w:t>
      </w:r>
    </w:p>
    <w:p>
      <w:pPr>
        <w:pStyle w:val="BodyText"/>
        <w:spacing w:line="360" w:lineRule="auto"/>
        <w:ind w:left="618" w:right="110" w:firstLine="1560"/>
        <w:jc w:val="both"/>
      </w:pPr>
      <w:r>
        <w:rPr/>
        <w:t>Os quantitativos e respectivos códigos dos itens são os discriminados em Planilha Orçamentária Estimativa, apêndice do Projeto Básico.</w:t>
      </w:r>
    </w:p>
    <w:p>
      <w:pPr>
        <w:pStyle w:val="BodyText"/>
        <w:ind w:left="2178"/>
        <w:jc w:val="both"/>
      </w:pPr>
      <w:r>
        <w:rPr/>
        <w:t>A</w:t>
      </w:r>
      <w:r>
        <w:rPr>
          <w:spacing w:val="2"/>
        </w:rPr>
        <w:t> </w:t>
      </w:r>
      <w:r>
        <w:rPr/>
        <w:t>presente</w:t>
      </w:r>
      <w:r>
        <w:rPr>
          <w:spacing w:val="5"/>
        </w:rPr>
        <w:t> </w:t>
      </w:r>
      <w:r>
        <w:rPr/>
        <w:t>contratação</w:t>
      </w:r>
      <w:r>
        <w:rPr>
          <w:spacing w:val="5"/>
        </w:rPr>
        <w:t> </w:t>
      </w:r>
      <w:r>
        <w:rPr/>
        <w:t>adotará</w:t>
      </w:r>
      <w:r>
        <w:rPr>
          <w:spacing w:val="4"/>
        </w:rPr>
        <w:t> </w:t>
      </w:r>
      <w:r>
        <w:rPr>
          <w:u w:val="single"/>
        </w:rPr>
        <w:t>empreitada</w:t>
      </w:r>
      <w:r>
        <w:rPr>
          <w:spacing w:val="3"/>
          <w:u w:val="single"/>
        </w:rPr>
        <w:t> </w:t>
      </w:r>
      <w:r>
        <w:rPr>
          <w:u w:val="single"/>
        </w:rPr>
        <w:t>por</w:t>
      </w:r>
      <w:r>
        <w:rPr>
          <w:spacing w:val="4"/>
          <w:u w:val="single"/>
        </w:rPr>
        <w:t> </w:t>
      </w:r>
      <w:r>
        <w:rPr>
          <w:u w:val="single"/>
        </w:rPr>
        <w:t>preço</w:t>
      </w:r>
      <w:r>
        <w:rPr>
          <w:spacing w:val="3"/>
          <w:u w:val="single"/>
        </w:rPr>
        <w:t> </w:t>
      </w:r>
      <w:r>
        <w:rPr>
          <w:u w:val="single"/>
        </w:rPr>
        <w:t>unitário</w:t>
      </w:r>
      <w:r>
        <w:rPr>
          <w:spacing w:val="2"/>
        </w:rPr>
        <w:t> </w:t>
      </w:r>
      <w:r>
        <w:rPr/>
        <w:t>como</w:t>
      </w:r>
      <w:r>
        <w:rPr>
          <w:spacing w:val="5"/>
        </w:rPr>
        <w:t> </w:t>
      </w:r>
      <w:r>
        <w:rPr>
          <w:spacing w:val="-2"/>
        </w:rPr>
        <w:t>regime</w:t>
      </w:r>
    </w:p>
    <w:p>
      <w:pPr>
        <w:pStyle w:val="BodyText"/>
        <w:spacing w:before="136"/>
        <w:ind w:left="618"/>
      </w:pPr>
      <w:r>
        <w:rPr/>
        <w:t>de</w:t>
      </w:r>
      <w:r>
        <w:rPr>
          <w:spacing w:val="-1"/>
        </w:rPr>
        <w:t> </w:t>
      </w:r>
      <w:r>
        <w:rPr>
          <w:spacing w:val="-2"/>
        </w:rPr>
        <w:t>execução.</w:t>
      </w:r>
    </w:p>
    <w:p>
      <w:pPr>
        <w:pStyle w:val="BodyText"/>
      </w:pPr>
    </w:p>
    <w:p>
      <w:pPr>
        <w:pStyle w:val="BodyText"/>
      </w:pPr>
    </w:p>
    <w:p>
      <w:pPr>
        <w:pStyle w:val="Heading1"/>
        <w:numPr>
          <w:ilvl w:val="0"/>
          <w:numId w:val="1"/>
        </w:numPr>
        <w:tabs>
          <w:tab w:pos="900" w:val="left" w:leader="none"/>
        </w:tabs>
        <w:spacing w:line="240" w:lineRule="auto" w:before="0" w:after="0"/>
        <w:ind w:left="900" w:right="0" w:hanging="282"/>
        <w:jc w:val="left"/>
      </w:pPr>
      <w:r>
        <w:rPr/>
        <w:t>DESCRIÇÃO</w:t>
      </w:r>
      <w:r>
        <w:rPr>
          <w:spacing w:val="-3"/>
        </w:rPr>
        <w:t> </w:t>
      </w:r>
      <w:r>
        <w:rPr/>
        <w:t>DA</w:t>
      </w:r>
      <w:r>
        <w:rPr>
          <w:spacing w:val="-7"/>
        </w:rPr>
        <w:t> </w:t>
      </w:r>
      <w:r>
        <w:rPr/>
        <w:t>SOLUÇÃO COMO</w:t>
      </w:r>
      <w:r>
        <w:rPr>
          <w:spacing w:val="-1"/>
        </w:rPr>
        <w:t> </w:t>
      </w:r>
      <w:r>
        <w:rPr/>
        <w:t>UM</w:t>
      </w:r>
      <w:r>
        <w:rPr>
          <w:spacing w:val="-2"/>
        </w:rPr>
        <w:t> TODO:</w:t>
      </w:r>
    </w:p>
    <w:p>
      <w:pPr>
        <w:pStyle w:val="BodyText"/>
        <w:spacing w:line="360" w:lineRule="auto" w:before="139"/>
        <w:ind w:left="618" w:firstLine="1560"/>
      </w:pPr>
      <w:r>
        <w:rPr/>
        <w:t>Esta contratação destina-se à reforma com ampliação do Fórum de Campo Verde. Tais serviços englobam resumidamente:</w:t>
      </w:r>
    </w:p>
    <w:p>
      <w:pPr>
        <w:spacing w:after="0" w:line="360" w:lineRule="auto"/>
        <w:sectPr>
          <w:pgSz w:w="11910" w:h="16850"/>
          <w:pgMar w:header="152" w:footer="934" w:top="1440" w:bottom="1120" w:left="800" w:right="740"/>
        </w:sectPr>
      </w:pPr>
    </w:p>
    <w:p>
      <w:pPr>
        <w:pStyle w:val="BodyText"/>
        <w:spacing w:before="22"/>
      </w:pPr>
    </w:p>
    <w:p>
      <w:pPr>
        <w:pStyle w:val="ListParagraph"/>
        <w:numPr>
          <w:ilvl w:val="1"/>
          <w:numId w:val="1"/>
        </w:numPr>
        <w:tabs>
          <w:tab w:pos="1184" w:val="left" w:leader="none"/>
        </w:tabs>
        <w:spacing w:line="240" w:lineRule="auto" w:before="0" w:after="0"/>
        <w:ind w:left="1184" w:right="0" w:hanging="206"/>
        <w:jc w:val="left"/>
        <w:rPr>
          <w:sz w:val="24"/>
        </w:rPr>
      </w:pPr>
      <w:r>
        <w:rPr>
          <w:sz w:val="24"/>
        </w:rPr>
        <w:t>Execução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Infraestrutura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Superestrutura</w:t>
      </w:r>
      <w:r>
        <w:rPr>
          <w:spacing w:val="-4"/>
          <w:sz w:val="24"/>
        </w:rPr>
        <w:t> </w:t>
      </w:r>
      <w:r>
        <w:rPr>
          <w:sz w:val="24"/>
        </w:rPr>
        <w:t>em</w:t>
      </w:r>
      <w:r>
        <w:rPr>
          <w:spacing w:val="-4"/>
          <w:sz w:val="24"/>
        </w:rPr>
        <w:t> </w:t>
      </w:r>
      <w:r>
        <w:rPr>
          <w:sz w:val="24"/>
        </w:rPr>
        <w:t>concreto</w:t>
      </w:r>
      <w:r>
        <w:rPr>
          <w:spacing w:val="-4"/>
          <w:sz w:val="24"/>
        </w:rPr>
        <w:t> </w:t>
      </w:r>
      <w:r>
        <w:rPr>
          <w:sz w:val="24"/>
        </w:rPr>
        <w:t>armado</w:t>
      </w:r>
      <w:r>
        <w:rPr>
          <w:spacing w:val="-2"/>
          <w:sz w:val="24"/>
        </w:rPr>
        <w:t> convencional</w:t>
      </w:r>
    </w:p>
    <w:p>
      <w:pPr>
        <w:pStyle w:val="ListParagraph"/>
        <w:numPr>
          <w:ilvl w:val="1"/>
          <w:numId w:val="1"/>
        </w:numPr>
        <w:tabs>
          <w:tab w:pos="1184" w:val="left" w:leader="none"/>
        </w:tabs>
        <w:spacing w:line="240" w:lineRule="auto" w:before="136" w:after="0"/>
        <w:ind w:left="1184" w:right="0" w:hanging="206"/>
        <w:jc w:val="left"/>
        <w:rPr>
          <w:sz w:val="24"/>
        </w:rPr>
      </w:pPr>
      <w:r>
        <w:rPr>
          <w:sz w:val="24"/>
        </w:rPr>
        <w:t>Execução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piso</w:t>
      </w:r>
      <w:r>
        <w:rPr>
          <w:spacing w:val="-3"/>
          <w:sz w:val="24"/>
        </w:rPr>
        <w:t> </w:t>
      </w:r>
      <w:r>
        <w:rPr>
          <w:sz w:val="24"/>
        </w:rPr>
        <w:t>em</w:t>
      </w:r>
      <w:r>
        <w:rPr>
          <w:spacing w:val="-4"/>
          <w:sz w:val="24"/>
        </w:rPr>
        <w:t> </w:t>
      </w:r>
      <w:r>
        <w:rPr>
          <w:sz w:val="24"/>
        </w:rPr>
        <w:t>granilite</w:t>
      </w:r>
      <w:r>
        <w:rPr>
          <w:spacing w:val="-2"/>
          <w:sz w:val="24"/>
        </w:rPr>
        <w:t> resinado</w:t>
      </w:r>
    </w:p>
    <w:p>
      <w:pPr>
        <w:pStyle w:val="ListParagraph"/>
        <w:numPr>
          <w:ilvl w:val="1"/>
          <w:numId w:val="1"/>
        </w:numPr>
        <w:tabs>
          <w:tab w:pos="1184" w:val="left" w:leader="none"/>
        </w:tabs>
        <w:spacing w:line="240" w:lineRule="auto" w:before="135" w:after="0"/>
        <w:ind w:left="1184" w:right="0" w:hanging="206"/>
        <w:jc w:val="left"/>
        <w:rPr>
          <w:sz w:val="24"/>
        </w:rPr>
      </w:pPr>
      <w:r>
        <w:rPr>
          <w:sz w:val="24"/>
        </w:rPr>
        <w:t>Execução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forro</w:t>
      </w:r>
      <w:r>
        <w:rPr>
          <w:spacing w:val="-1"/>
          <w:sz w:val="24"/>
        </w:rPr>
        <w:t> </w:t>
      </w:r>
      <w:r>
        <w:rPr>
          <w:sz w:val="24"/>
        </w:rPr>
        <w:t>em</w:t>
      </w:r>
      <w:r>
        <w:rPr>
          <w:spacing w:val="-4"/>
          <w:sz w:val="24"/>
        </w:rPr>
        <w:t> </w:t>
      </w:r>
      <w:r>
        <w:rPr>
          <w:sz w:val="24"/>
        </w:rPr>
        <w:t>gesso</w:t>
      </w:r>
      <w:r>
        <w:rPr>
          <w:spacing w:val="-1"/>
          <w:sz w:val="24"/>
        </w:rPr>
        <w:t> </w:t>
      </w:r>
      <w:r>
        <w:rPr>
          <w:sz w:val="24"/>
        </w:rPr>
        <w:t>compacto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aluminizado</w:t>
      </w:r>
    </w:p>
    <w:p>
      <w:pPr>
        <w:pStyle w:val="ListParagraph"/>
        <w:numPr>
          <w:ilvl w:val="1"/>
          <w:numId w:val="1"/>
        </w:numPr>
        <w:tabs>
          <w:tab w:pos="1184" w:val="left" w:leader="none"/>
        </w:tabs>
        <w:spacing w:line="240" w:lineRule="auto" w:before="138" w:after="0"/>
        <w:ind w:left="1184" w:right="0" w:hanging="206"/>
        <w:jc w:val="left"/>
        <w:rPr>
          <w:sz w:val="24"/>
        </w:rPr>
      </w:pPr>
      <w:r>
        <w:rPr>
          <w:sz w:val="24"/>
        </w:rPr>
        <w:t>Execução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63"/>
          <w:sz w:val="24"/>
        </w:rPr>
        <w:t> </w:t>
      </w:r>
      <w:r>
        <w:rPr>
          <w:sz w:val="24"/>
        </w:rPr>
        <w:t>revestimento</w:t>
      </w:r>
      <w:r>
        <w:rPr>
          <w:spacing w:val="-3"/>
          <w:sz w:val="24"/>
        </w:rPr>
        <w:t> </w:t>
      </w:r>
      <w:r>
        <w:rPr>
          <w:sz w:val="24"/>
        </w:rPr>
        <w:t>ACM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brises</w:t>
      </w:r>
      <w:r>
        <w:rPr>
          <w:spacing w:val="-2"/>
          <w:sz w:val="24"/>
        </w:rPr>
        <w:t> </w:t>
      </w:r>
      <w:r>
        <w:rPr>
          <w:sz w:val="24"/>
        </w:rPr>
        <w:t>metálicos</w:t>
      </w:r>
      <w:r>
        <w:rPr>
          <w:spacing w:val="-2"/>
          <w:sz w:val="24"/>
        </w:rPr>
        <w:t> </w:t>
      </w:r>
      <w:r>
        <w:rPr>
          <w:sz w:val="24"/>
        </w:rPr>
        <w:t>na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fachada</w:t>
      </w:r>
    </w:p>
    <w:p>
      <w:pPr>
        <w:pStyle w:val="ListParagraph"/>
        <w:numPr>
          <w:ilvl w:val="1"/>
          <w:numId w:val="1"/>
        </w:numPr>
        <w:tabs>
          <w:tab w:pos="1184" w:val="left" w:leader="none"/>
        </w:tabs>
        <w:spacing w:line="240" w:lineRule="auto" w:before="136" w:after="0"/>
        <w:ind w:left="1184" w:right="0" w:hanging="206"/>
        <w:jc w:val="left"/>
        <w:rPr>
          <w:sz w:val="24"/>
        </w:rPr>
      </w:pPr>
      <w:r>
        <w:rPr>
          <w:sz w:val="24"/>
        </w:rPr>
        <w:t>Execução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sanitários</w:t>
      </w:r>
      <w:r>
        <w:rPr>
          <w:spacing w:val="-3"/>
          <w:sz w:val="24"/>
        </w:rPr>
        <w:t> </w:t>
      </w:r>
      <w:r>
        <w:rPr>
          <w:sz w:val="24"/>
        </w:rPr>
        <w:t>acessíveis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pisos</w:t>
      </w:r>
      <w:r>
        <w:rPr>
          <w:spacing w:val="-2"/>
          <w:sz w:val="24"/>
        </w:rPr>
        <w:t> </w:t>
      </w:r>
      <w:r>
        <w:rPr>
          <w:sz w:val="24"/>
        </w:rPr>
        <w:t>táteis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alerta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direcionais</w:t>
      </w:r>
    </w:p>
    <w:p>
      <w:pPr>
        <w:pStyle w:val="ListParagraph"/>
        <w:numPr>
          <w:ilvl w:val="1"/>
          <w:numId w:val="1"/>
        </w:numPr>
        <w:tabs>
          <w:tab w:pos="1184" w:val="left" w:leader="none"/>
        </w:tabs>
        <w:spacing w:line="240" w:lineRule="auto" w:before="135" w:after="0"/>
        <w:ind w:left="1184" w:right="0" w:hanging="206"/>
        <w:jc w:val="left"/>
        <w:rPr>
          <w:sz w:val="24"/>
        </w:rPr>
      </w:pPr>
      <w:r>
        <w:rPr>
          <w:sz w:val="24"/>
        </w:rPr>
        <w:t>Execução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cobertura</w:t>
      </w:r>
      <w:r>
        <w:rPr>
          <w:spacing w:val="-3"/>
          <w:sz w:val="24"/>
        </w:rPr>
        <w:t> </w:t>
      </w:r>
      <w:r>
        <w:rPr>
          <w:sz w:val="24"/>
        </w:rPr>
        <w:t>em</w:t>
      </w:r>
      <w:r>
        <w:rPr>
          <w:spacing w:val="-1"/>
          <w:sz w:val="24"/>
        </w:rPr>
        <w:t> </w:t>
      </w:r>
      <w:r>
        <w:rPr>
          <w:sz w:val="24"/>
        </w:rPr>
        <w:t>telha</w:t>
      </w:r>
      <w:r>
        <w:rPr>
          <w:spacing w:val="-4"/>
          <w:sz w:val="24"/>
        </w:rPr>
        <w:t> </w:t>
      </w:r>
      <w:r>
        <w:rPr>
          <w:sz w:val="24"/>
        </w:rPr>
        <w:t>metálica</w:t>
      </w:r>
      <w:r>
        <w:rPr>
          <w:spacing w:val="-2"/>
          <w:sz w:val="24"/>
        </w:rPr>
        <w:t> termoisolante</w:t>
      </w:r>
    </w:p>
    <w:p>
      <w:pPr>
        <w:pStyle w:val="BodyText"/>
        <w:spacing w:line="360" w:lineRule="auto" w:before="135"/>
        <w:ind w:left="618" w:right="105" w:firstLine="1560"/>
        <w:jc w:val="both"/>
      </w:pPr>
      <w:r>
        <w:rPr/>
        <w:t>A execução da obra deverá seguir o projeto básico, memoriais descritivos, especificações técnicas, planilhas orçamentárias e cronograma físico-financeiro, elaborados pelo Departamento de Obras do TJMT.</w:t>
      </w:r>
    </w:p>
    <w:p>
      <w:pPr>
        <w:pStyle w:val="BodyText"/>
        <w:spacing w:before="138"/>
      </w:pPr>
    </w:p>
    <w:p>
      <w:pPr>
        <w:pStyle w:val="Heading1"/>
        <w:numPr>
          <w:ilvl w:val="0"/>
          <w:numId w:val="1"/>
        </w:numPr>
        <w:tabs>
          <w:tab w:pos="900" w:val="left" w:leader="none"/>
        </w:tabs>
        <w:spacing w:line="240" w:lineRule="auto" w:before="0" w:after="0"/>
        <w:ind w:left="900" w:right="0" w:hanging="282"/>
        <w:jc w:val="left"/>
      </w:pPr>
      <w:r>
        <w:rPr/>
        <w:t>JUSTIFICATIVAS</w:t>
      </w:r>
      <w:r>
        <w:rPr>
          <w:spacing w:val="-2"/>
        </w:rPr>
        <w:t> </w:t>
      </w:r>
      <w:r>
        <w:rPr/>
        <w:t>PARA</w:t>
      </w:r>
      <w:r>
        <w:rPr>
          <w:spacing w:val="-7"/>
        </w:rPr>
        <w:t> </w:t>
      </w:r>
      <w:r>
        <w:rPr/>
        <w:t>O</w:t>
      </w:r>
      <w:r>
        <w:rPr>
          <w:spacing w:val="-2"/>
        </w:rPr>
        <w:t> </w:t>
      </w:r>
      <w:r>
        <w:rPr/>
        <w:t>NÃO</w:t>
      </w:r>
      <w:r>
        <w:rPr>
          <w:spacing w:val="-2"/>
        </w:rPr>
        <w:t> </w:t>
      </w:r>
      <w:r>
        <w:rPr/>
        <w:t>PARCELAMENTO</w:t>
      </w:r>
      <w:r>
        <w:rPr>
          <w:spacing w:val="-1"/>
        </w:rPr>
        <w:t> </w:t>
      </w:r>
      <w:r>
        <w:rPr/>
        <w:t>DA</w:t>
      </w:r>
      <w:r>
        <w:rPr>
          <w:spacing w:val="-7"/>
        </w:rPr>
        <w:t> </w:t>
      </w:r>
      <w:r>
        <w:rPr>
          <w:spacing w:val="-2"/>
        </w:rPr>
        <w:t>SOLUÇÃO:</w:t>
      </w:r>
    </w:p>
    <w:p>
      <w:pPr>
        <w:pStyle w:val="BodyText"/>
        <w:spacing w:line="360" w:lineRule="auto" w:before="140"/>
        <w:ind w:left="618" w:right="104" w:firstLine="1843"/>
        <w:jc w:val="both"/>
      </w:pPr>
      <w:r>
        <w:rPr/>
        <w:t>Por conta do volume financeiro a ser empregado e a natureza dos serviços que inviabilizam a divisão ou a fragmentação dos itens em partes, </w:t>
      </w:r>
      <w:r>
        <w:rPr>
          <w:u w:val="single"/>
        </w:rPr>
        <w:t>não será</w:t>
      </w:r>
      <w:r>
        <w:rPr/>
        <w:t> </w:t>
      </w:r>
      <w:r>
        <w:rPr>
          <w:u w:val="single"/>
        </w:rPr>
        <w:t>reservada</w:t>
      </w:r>
      <w:r>
        <w:rPr>
          <w:spacing w:val="-1"/>
          <w:u w:val="single"/>
        </w:rPr>
        <w:t> </w:t>
      </w:r>
      <w:r>
        <w:rPr>
          <w:u w:val="single"/>
        </w:rPr>
        <w:t>cota</w:t>
      </w:r>
      <w:r>
        <w:rPr>
          <w:spacing w:val="-1"/>
          <w:u w:val="single"/>
        </w:rPr>
        <w:t> </w:t>
      </w:r>
      <w:r>
        <w:rPr>
          <w:u w:val="single"/>
        </w:rPr>
        <w:t>de</w:t>
      </w:r>
      <w:r>
        <w:rPr>
          <w:spacing w:val="-1"/>
          <w:u w:val="single"/>
        </w:rPr>
        <w:t> </w:t>
      </w:r>
      <w:r>
        <w:rPr>
          <w:u w:val="single"/>
        </w:rPr>
        <w:t>exclusividade</w:t>
      </w:r>
      <w:r>
        <w:rPr>
          <w:spacing w:val="-1"/>
          <w:u w:val="single"/>
        </w:rPr>
        <w:t> </w:t>
      </w:r>
      <w:r>
        <w:rPr>
          <w:u w:val="single"/>
        </w:rPr>
        <w:t>para</w:t>
      </w:r>
      <w:r>
        <w:rPr>
          <w:spacing w:val="-1"/>
          <w:u w:val="single"/>
        </w:rPr>
        <w:t> </w:t>
      </w:r>
      <w:r>
        <w:rPr>
          <w:u w:val="single"/>
        </w:rPr>
        <w:t>microempresa</w:t>
      </w:r>
      <w:r>
        <w:rPr>
          <w:spacing w:val="-1"/>
          <w:u w:val="single"/>
        </w:rPr>
        <w:t> </w:t>
      </w:r>
      <w:r>
        <w:rPr>
          <w:u w:val="single"/>
        </w:rPr>
        <w:t>e</w:t>
      </w:r>
      <w:r>
        <w:rPr>
          <w:spacing w:val="-1"/>
          <w:u w:val="single"/>
        </w:rPr>
        <w:t> </w:t>
      </w:r>
      <w:r>
        <w:rPr>
          <w:u w:val="single"/>
        </w:rPr>
        <w:t>empresas</w:t>
      </w:r>
      <w:r>
        <w:rPr>
          <w:spacing w:val="-2"/>
          <w:u w:val="single"/>
        </w:rPr>
        <w:t> </w:t>
      </w:r>
      <w:r>
        <w:rPr>
          <w:u w:val="single"/>
        </w:rPr>
        <w:t>de</w:t>
      </w:r>
      <w:r>
        <w:rPr>
          <w:spacing w:val="-1"/>
          <w:u w:val="single"/>
        </w:rPr>
        <w:t> </w:t>
      </w:r>
      <w:r>
        <w:rPr>
          <w:u w:val="single"/>
        </w:rPr>
        <w:t>pequeno</w:t>
      </w:r>
      <w:r>
        <w:rPr>
          <w:spacing w:val="-1"/>
          <w:u w:val="single"/>
        </w:rPr>
        <w:t> </w:t>
      </w:r>
      <w:r>
        <w:rPr>
          <w:u w:val="single"/>
        </w:rPr>
        <w:t>porte</w:t>
      </w:r>
      <w:r>
        <w:rPr/>
        <w:t>,</w:t>
      </w:r>
      <w:r>
        <w:rPr>
          <w:spacing w:val="-2"/>
        </w:rPr>
        <w:t> </w:t>
      </w:r>
      <w:r>
        <w:rPr/>
        <w:t>já</w:t>
      </w:r>
      <w:r>
        <w:rPr>
          <w:spacing w:val="-1"/>
        </w:rPr>
        <w:t> </w:t>
      </w:r>
      <w:r>
        <w:rPr/>
        <w:t>que se</w:t>
      </w:r>
      <w:r>
        <w:rPr>
          <w:spacing w:val="-2"/>
        </w:rPr>
        <w:t> </w:t>
      </w:r>
      <w:r>
        <w:rPr/>
        <w:t>tratam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serviços</w:t>
      </w:r>
      <w:r>
        <w:rPr>
          <w:spacing w:val="-3"/>
        </w:rPr>
        <w:t> </w:t>
      </w:r>
      <w:r>
        <w:rPr/>
        <w:t>em</w:t>
      </w:r>
      <w:r>
        <w:rPr>
          <w:spacing w:val="-1"/>
        </w:rPr>
        <w:t> </w:t>
      </w:r>
      <w:r>
        <w:rPr/>
        <w:t>sua</w:t>
      </w:r>
      <w:r>
        <w:rPr>
          <w:spacing w:val="-2"/>
        </w:rPr>
        <w:t> </w:t>
      </w:r>
      <w:r>
        <w:rPr/>
        <w:t>totalidade,</w:t>
      </w:r>
      <w:r>
        <w:rPr>
          <w:spacing w:val="-2"/>
        </w:rPr>
        <w:t> </w:t>
      </w:r>
      <w:r>
        <w:rPr/>
        <w:t>com</w:t>
      </w:r>
      <w:r>
        <w:rPr>
          <w:spacing w:val="-1"/>
        </w:rPr>
        <w:t> </w:t>
      </w:r>
      <w:r>
        <w:rPr/>
        <w:t>entrega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material</w:t>
      </w:r>
      <w:r>
        <w:rPr>
          <w:spacing w:val="-6"/>
        </w:rPr>
        <w:t> </w:t>
      </w:r>
      <w:r>
        <w:rPr/>
        <w:t>para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execução</w:t>
      </w:r>
      <w:r>
        <w:rPr>
          <w:spacing w:val="-4"/>
        </w:rPr>
        <w:t> </w:t>
      </w:r>
      <w:r>
        <w:rPr/>
        <w:t>desses serviços, todos correlacionados tecnicamente entre si (Art. 49, inciso III da Lei Complementar n. 123/2006).</w:t>
      </w:r>
    </w:p>
    <w:p>
      <w:pPr>
        <w:pStyle w:val="BodyText"/>
        <w:spacing w:line="360" w:lineRule="auto"/>
        <w:ind w:left="618" w:right="105" w:firstLine="1843"/>
        <w:jc w:val="both"/>
      </w:pPr>
      <w:r>
        <w:rPr/>
        <w:t>A subcontratação permitida no Projeto Básico não se confunde com a contratação de microempresas e empresas de pequeno porte referente a Lei Complementar n. 123/2006, visto que a sua efetiva operacionalização depende da</w:t>
      </w:r>
      <w:r>
        <w:rPr>
          <w:spacing w:val="40"/>
        </w:rPr>
        <w:t> </w:t>
      </w:r>
      <w:r>
        <w:rPr/>
        <w:t>vontade exclusiva do contratado que poderá, ou não, subcontratar terceiros durante a execução do contrato. Neste caso não há o dever da Administração exigir a subcontratação, eis que a redação legal confere poder discricionário ao utilizar o termo </w:t>
      </w:r>
      <w:r>
        <w:rPr>
          <w:spacing w:val="-2"/>
        </w:rPr>
        <w:t>“poderá”.</w:t>
      </w:r>
    </w:p>
    <w:p>
      <w:pPr>
        <w:pStyle w:val="BodyText"/>
        <w:spacing w:before="135"/>
      </w:pPr>
    </w:p>
    <w:p>
      <w:pPr>
        <w:pStyle w:val="Heading1"/>
        <w:numPr>
          <w:ilvl w:val="0"/>
          <w:numId w:val="1"/>
        </w:numPr>
        <w:tabs>
          <w:tab w:pos="900" w:val="left" w:leader="none"/>
        </w:tabs>
        <w:spacing w:line="240" w:lineRule="auto" w:before="1" w:after="0"/>
        <w:ind w:left="900" w:right="0" w:hanging="282"/>
        <w:jc w:val="left"/>
      </w:pPr>
      <w:r>
        <w:rPr/>
        <w:t>VEDAÇÃO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PARTICIPAÇÃO</w:t>
      </w:r>
      <w:r>
        <w:rPr>
          <w:spacing w:val="-3"/>
        </w:rPr>
        <w:t> </w:t>
      </w:r>
      <w:r>
        <w:rPr/>
        <w:t>EM</w:t>
      </w:r>
      <w:r>
        <w:rPr>
          <w:spacing w:val="-4"/>
        </w:rPr>
        <w:t> </w:t>
      </w:r>
      <w:r>
        <w:rPr>
          <w:spacing w:val="-2"/>
        </w:rPr>
        <w:t>CONSÓRCIO</w:t>
      </w:r>
    </w:p>
    <w:p>
      <w:pPr>
        <w:pStyle w:val="BodyText"/>
        <w:spacing w:line="360" w:lineRule="auto" w:before="139"/>
        <w:ind w:left="618" w:right="103" w:firstLine="1843"/>
        <w:jc w:val="both"/>
      </w:pPr>
      <w:r>
        <w:rPr/>
        <w:t>Não serão aceitas participação de empresas enquadradas nas modalidades de consórcio no presente procedimento licitatório.</w:t>
      </w:r>
    </w:p>
    <w:p>
      <w:pPr>
        <w:pStyle w:val="BodyText"/>
        <w:spacing w:line="360" w:lineRule="auto"/>
        <w:ind w:left="618" w:right="105" w:firstLine="1843"/>
        <w:jc w:val="both"/>
      </w:pPr>
      <w:r>
        <w:rPr/>
        <w:t>Conforme art. 15 da Lei n. 14.133/2021, a conveniência de admissão de participação de consórcios nos procedimentos licitatórios é decisão meramente discricionária da Administração Pública.</w:t>
      </w:r>
    </w:p>
    <w:p>
      <w:pPr>
        <w:pStyle w:val="BodyText"/>
        <w:spacing w:line="360" w:lineRule="auto"/>
        <w:ind w:left="618" w:right="106" w:firstLine="1843"/>
        <w:jc w:val="both"/>
      </w:pPr>
      <w:r>
        <w:rPr/>
        <w:t>A vedação à participação de interessadas que se apresentem constituídas</w:t>
      </w:r>
      <w:r>
        <w:rPr>
          <w:spacing w:val="25"/>
        </w:rPr>
        <w:t> </w:t>
      </w:r>
      <w:r>
        <w:rPr/>
        <w:t>sob</w:t>
      </w:r>
      <w:r>
        <w:rPr>
          <w:spacing w:val="28"/>
        </w:rPr>
        <w:t> </w:t>
      </w:r>
      <w:r>
        <w:rPr/>
        <w:t>a</w:t>
      </w:r>
      <w:r>
        <w:rPr>
          <w:spacing w:val="26"/>
        </w:rPr>
        <w:t> </w:t>
      </w:r>
      <w:r>
        <w:rPr/>
        <w:t>forma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consórcio</w:t>
      </w:r>
      <w:r>
        <w:rPr>
          <w:spacing w:val="29"/>
        </w:rPr>
        <w:t> </w:t>
      </w:r>
      <w:r>
        <w:rPr/>
        <w:t>se</w:t>
      </w:r>
      <w:r>
        <w:rPr>
          <w:spacing w:val="28"/>
        </w:rPr>
        <w:t> </w:t>
      </w:r>
      <w:r>
        <w:rPr/>
        <w:t>justifica</w:t>
      </w:r>
      <w:r>
        <w:rPr>
          <w:spacing w:val="28"/>
        </w:rPr>
        <w:t> </w:t>
      </w:r>
      <w:r>
        <w:rPr/>
        <w:t>na</w:t>
      </w:r>
      <w:r>
        <w:rPr>
          <w:spacing w:val="29"/>
        </w:rPr>
        <w:t> </w:t>
      </w:r>
      <w:r>
        <w:rPr/>
        <w:t>medida</w:t>
      </w:r>
      <w:r>
        <w:rPr>
          <w:spacing w:val="28"/>
        </w:rPr>
        <w:t> </w:t>
      </w:r>
      <w:r>
        <w:rPr/>
        <w:t>em</w:t>
      </w:r>
      <w:r>
        <w:rPr>
          <w:spacing w:val="26"/>
        </w:rPr>
        <w:t> </w:t>
      </w:r>
      <w:r>
        <w:rPr/>
        <w:t>o</w:t>
      </w:r>
      <w:r>
        <w:rPr>
          <w:spacing w:val="29"/>
        </w:rPr>
        <w:t> </w:t>
      </w:r>
      <w:r>
        <w:rPr/>
        <w:t>objeto</w:t>
      </w:r>
      <w:r>
        <w:rPr>
          <w:spacing w:val="28"/>
        </w:rPr>
        <w:t> </w:t>
      </w:r>
      <w:r>
        <w:rPr/>
        <w:t>deste</w:t>
      </w:r>
      <w:r>
        <w:rPr>
          <w:spacing w:val="29"/>
        </w:rPr>
        <w:t> </w:t>
      </w:r>
      <w:r>
        <w:rPr>
          <w:spacing w:val="-2"/>
        </w:rPr>
        <w:t>Projeto</w:t>
      </w:r>
    </w:p>
    <w:p>
      <w:pPr>
        <w:spacing w:after="0" w:line="360" w:lineRule="auto"/>
        <w:jc w:val="both"/>
        <w:sectPr>
          <w:pgSz w:w="11910" w:h="16850"/>
          <w:pgMar w:header="152" w:footer="934" w:top="1440" w:bottom="1120" w:left="800" w:right="740"/>
        </w:sectPr>
      </w:pPr>
    </w:p>
    <w:p>
      <w:pPr>
        <w:pStyle w:val="BodyText"/>
        <w:spacing w:before="21"/>
      </w:pPr>
    </w:p>
    <w:p>
      <w:pPr>
        <w:pStyle w:val="BodyText"/>
        <w:spacing w:line="360" w:lineRule="auto"/>
        <w:ind w:left="618" w:right="104"/>
        <w:jc w:val="both"/>
      </w:pPr>
      <w:r>
        <w:rPr/>
        <w:t>Básico é perfeitamente pertinente e compatível com empresas atuantes no ramo da construção civil, cuja participação de uma gama variada de empresas, às quais, em sua maioria absoluta, apresentam o mínimo exigido no tocante à qualificação técnica e econômico-financeira, demonstrando possuir condições suficientes para a execução de contratos dessa natureza, o que por consequência não tornará restrito o universo de possíveis licitantes individuais.</w:t>
      </w:r>
    </w:p>
    <w:p>
      <w:pPr>
        <w:pStyle w:val="BodyText"/>
        <w:spacing w:line="360" w:lineRule="auto" w:before="1"/>
        <w:ind w:left="618" w:right="102" w:firstLine="1843"/>
        <w:jc w:val="both"/>
      </w:pPr>
      <w:r>
        <w:rPr/>
        <w:t>A ausência de consórcio não trará prejuízos à competitividade do certame, visto que, em regra, a formação de consórcios é admitida quando o objeto a ser licitado envolve questões de alta complexidade, em que empresas, isoladamente, não teriam condições de suprir os requisitos de habilitação do edital.</w:t>
      </w:r>
    </w:p>
    <w:p>
      <w:pPr>
        <w:pStyle w:val="BodyText"/>
        <w:spacing w:line="360" w:lineRule="auto"/>
        <w:ind w:left="618" w:right="105" w:firstLine="1843"/>
        <w:jc w:val="both"/>
      </w:pPr>
      <w:r>
        <w:rPr/>
        <w:t>A permissão de participação de empresas em consórcio na licitação é excepcional justamente porque o que se quer é preservar o máximo possível à competitividade do certame.</w:t>
      </w:r>
    </w:p>
    <w:p>
      <w:pPr>
        <w:pStyle w:val="BodyText"/>
        <w:spacing w:line="360" w:lineRule="auto"/>
        <w:ind w:left="618" w:right="105" w:firstLine="1843"/>
        <w:jc w:val="both"/>
      </w:pPr>
      <w:r>
        <w:rPr/>
        <w:t>Ademais, o objeto do presente Projeto Básico não se configura pela necessidade de multidisciplinaridade em termos de serviços a serem prestados, visto que compreende tão somente execução de reforma e ampliação de edificação pública </w:t>
      </w:r>
      <w:r>
        <w:rPr>
          <w:spacing w:val="-2"/>
        </w:rPr>
        <w:t>existente.</w:t>
      </w:r>
    </w:p>
    <w:p>
      <w:pPr>
        <w:pStyle w:val="BodyText"/>
        <w:spacing w:line="360" w:lineRule="auto"/>
        <w:ind w:left="618" w:right="103" w:firstLine="1843"/>
        <w:jc w:val="both"/>
      </w:pPr>
      <w:r>
        <w:rPr/>
        <w:t>Frente ao exposto, tendo em vista que é prerrogativa do Poder Público, na condição de contratante, a escolha da participação, ou não, de empresas constituídas sob a forma de consórcio, pelos motivos já expostos, conclui-se que a vedação de constituição de empresas em consórcio, neste caso, é o que melhor atende ao interesse público, por prestigiar os princípios da competitividade, economicidade e moralidade.</w:t>
      </w:r>
    </w:p>
    <w:p>
      <w:pPr>
        <w:pStyle w:val="BodyText"/>
        <w:spacing w:before="137"/>
      </w:pPr>
    </w:p>
    <w:p>
      <w:pPr>
        <w:pStyle w:val="Heading1"/>
        <w:numPr>
          <w:ilvl w:val="0"/>
          <w:numId w:val="1"/>
        </w:numPr>
        <w:tabs>
          <w:tab w:pos="1044" w:val="left" w:leader="none"/>
        </w:tabs>
        <w:spacing w:line="240" w:lineRule="auto" w:before="0" w:after="0"/>
        <w:ind w:left="1044" w:right="0" w:hanging="426"/>
        <w:jc w:val="left"/>
      </w:pPr>
      <w:r>
        <w:rPr/>
        <w:t>RESULTADOS</w:t>
      </w:r>
      <w:r>
        <w:rPr>
          <w:spacing w:val="-7"/>
        </w:rPr>
        <w:t> </w:t>
      </w:r>
      <w:r>
        <w:rPr>
          <w:spacing w:val="-2"/>
        </w:rPr>
        <w:t>PRETENDIDOS:</w:t>
      </w:r>
    </w:p>
    <w:p>
      <w:pPr>
        <w:pStyle w:val="BodyText"/>
        <w:spacing w:before="139"/>
        <w:ind w:left="2320"/>
        <w:jc w:val="both"/>
      </w:pPr>
      <w:r>
        <w:rPr/>
        <w:t>A</w:t>
      </w:r>
      <w:r>
        <w:rPr>
          <w:spacing w:val="-4"/>
        </w:rPr>
        <w:t> </w:t>
      </w:r>
      <w:r>
        <w:rPr/>
        <w:t>solução</w:t>
      </w:r>
      <w:r>
        <w:rPr>
          <w:spacing w:val="-2"/>
        </w:rPr>
        <w:t> </w:t>
      </w:r>
      <w:r>
        <w:rPr/>
        <w:t>deverá</w:t>
      </w:r>
      <w:r>
        <w:rPr>
          <w:spacing w:val="-2"/>
        </w:rPr>
        <w:t> </w:t>
      </w:r>
      <w:r>
        <w:rPr/>
        <w:t>permitir</w:t>
      </w:r>
      <w:r>
        <w:rPr>
          <w:spacing w:val="-4"/>
        </w:rPr>
        <w:t> </w:t>
      </w:r>
      <w:r>
        <w:rPr/>
        <w:t>o</w:t>
      </w:r>
      <w:r>
        <w:rPr>
          <w:spacing w:val="-2"/>
        </w:rPr>
        <w:t> </w:t>
      </w:r>
      <w:r>
        <w:rPr/>
        <w:t>alcance</w:t>
      </w:r>
      <w:r>
        <w:rPr>
          <w:spacing w:val="-4"/>
        </w:rPr>
        <w:t> </w:t>
      </w:r>
      <w:r>
        <w:rPr/>
        <w:t>dos</w:t>
      </w:r>
      <w:r>
        <w:rPr>
          <w:spacing w:val="-3"/>
        </w:rPr>
        <w:t> </w:t>
      </w:r>
      <w:r>
        <w:rPr/>
        <w:t>seguintes</w:t>
      </w:r>
      <w:r>
        <w:rPr>
          <w:spacing w:val="-2"/>
        </w:rPr>
        <w:t> resultados:</w:t>
      </w:r>
    </w:p>
    <w:p>
      <w:pPr>
        <w:pStyle w:val="ListParagraph"/>
        <w:numPr>
          <w:ilvl w:val="1"/>
          <w:numId w:val="1"/>
        </w:numPr>
        <w:tabs>
          <w:tab w:pos="1182" w:val="left" w:leader="none"/>
          <w:tab w:pos="1184" w:val="left" w:leader="none"/>
        </w:tabs>
        <w:spacing w:line="350" w:lineRule="auto" w:before="138" w:after="0"/>
        <w:ind w:left="1184" w:right="107" w:hanging="140"/>
        <w:jc w:val="both"/>
        <w:rPr>
          <w:sz w:val="24"/>
        </w:rPr>
      </w:pPr>
      <w:r>
        <w:rPr>
          <w:sz w:val="24"/>
        </w:rPr>
        <w:t>Proporcionar infraestrutura adequada, confortável e segura aos magistrados, servidores e jurisdicionados, gerando bem-estar e otimização dos trabalhos</w:t>
      </w:r>
    </w:p>
    <w:p>
      <w:pPr>
        <w:pStyle w:val="ListParagraph"/>
        <w:numPr>
          <w:ilvl w:val="1"/>
          <w:numId w:val="1"/>
        </w:numPr>
        <w:tabs>
          <w:tab w:pos="1251" w:val="left" w:leader="none"/>
          <w:tab w:pos="1326" w:val="left" w:leader="none"/>
        </w:tabs>
        <w:spacing w:line="355" w:lineRule="auto" w:before="12" w:after="0"/>
        <w:ind w:left="1326" w:right="107" w:hanging="281"/>
        <w:jc w:val="both"/>
        <w:rPr>
          <w:sz w:val="24"/>
        </w:rPr>
      </w:pPr>
      <w:r>
        <w:rPr>
          <w:sz w:val="24"/>
        </w:rPr>
        <w:t>Agilizar a prestação jurisdicional diante do aumento exponencial da demanda processual, devido a ampliação do acesso de ferramentas digitais que multiplicam</w:t>
      </w:r>
      <w:r>
        <w:rPr>
          <w:spacing w:val="40"/>
          <w:sz w:val="24"/>
        </w:rPr>
        <w:t> </w:t>
      </w:r>
      <w:r>
        <w:rPr>
          <w:sz w:val="24"/>
        </w:rPr>
        <w:t>o número de recursos.</w:t>
      </w:r>
    </w:p>
    <w:p>
      <w:pPr>
        <w:pStyle w:val="ListParagraph"/>
        <w:numPr>
          <w:ilvl w:val="1"/>
          <w:numId w:val="1"/>
        </w:numPr>
        <w:tabs>
          <w:tab w:pos="1184" w:val="left" w:leader="none"/>
        </w:tabs>
        <w:spacing w:line="240" w:lineRule="auto" w:before="6" w:after="0"/>
        <w:ind w:left="1184" w:right="0" w:hanging="206"/>
        <w:jc w:val="both"/>
        <w:rPr>
          <w:sz w:val="24"/>
        </w:rPr>
      </w:pPr>
      <w:r>
        <w:rPr>
          <w:sz w:val="24"/>
        </w:rPr>
        <w:t>Atingir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meta</w:t>
      </w:r>
      <w:r>
        <w:rPr>
          <w:spacing w:val="-4"/>
          <w:sz w:val="24"/>
        </w:rPr>
        <w:t> </w:t>
      </w:r>
      <w:r>
        <w:rPr>
          <w:sz w:val="24"/>
        </w:rPr>
        <w:t>estabelecida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Plano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Obras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Planejamento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Estratégico</w:t>
      </w:r>
    </w:p>
    <w:p>
      <w:pPr>
        <w:spacing w:after="0" w:line="240" w:lineRule="auto"/>
        <w:jc w:val="both"/>
        <w:rPr>
          <w:sz w:val="24"/>
        </w:rPr>
        <w:sectPr>
          <w:pgSz w:w="11910" w:h="16850"/>
          <w:pgMar w:header="152" w:footer="934" w:top="1440" w:bottom="1120" w:left="800" w:right="740"/>
        </w:sectPr>
      </w:pPr>
    </w:p>
    <w:p>
      <w:pPr>
        <w:pStyle w:val="BodyText"/>
        <w:spacing w:before="21"/>
      </w:pPr>
    </w:p>
    <w:p>
      <w:pPr>
        <w:pStyle w:val="Heading1"/>
        <w:numPr>
          <w:ilvl w:val="0"/>
          <w:numId w:val="1"/>
        </w:numPr>
        <w:tabs>
          <w:tab w:pos="1043" w:val="left" w:leader="none"/>
          <w:tab w:pos="1045" w:val="left" w:leader="none"/>
        </w:tabs>
        <w:spacing w:line="360" w:lineRule="auto" w:before="0" w:after="0"/>
        <w:ind w:left="1045" w:right="295" w:hanging="428"/>
        <w:jc w:val="left"/>
      </w:pPr>
      <w:r>
        <w:rPr/>
        <w:t>PROVIDÊNCIAS</w:t>
      </w:r>
      <w:r>
        <w:rPr>
          <w:spacing w:val="-2"/>
        </w:rPr>
        <w:t> </w:t>
      </w:r>
      <w:r>
        <w:rPr/>
        <w:t>A</w:t>
      </w:r>
      <w:r>
        <w:rPr>
          <w:spacing w:val="-12"/>
        </w:rPr>
        <w:t> </w:t>
      </w:r>
      <w:r>
        <w:rPr/>
        <w:t>SEREM</w:t>
      </w:r>
      <w:r>
        <w:rPr>
          <w:spacing w:val="-6"/>
        </w:rPr>
        <w:t> </w:t>
      </w:r>
      <w:r>
        <w:rPr/>
        <w:t>ADOTADAS</w:t>
      </w:r>
      <w:r>
        <w:rPr>
          <w:spacing w:val="-7"/>
        </w:rPr>
        <w:t> </w:t>
      </w:r>
      <w:r>
        <w:rPr/>
        <w:t>PELA</w:t>
      </w:r>
      <w:r>
        <w:rPr>
          <w:spacing w:val="-7"/>
        </w:rPr>
        <w:t> </w:t>
      </w:r>
      <w:r>
        <w:rPr/>
        <w:t>ADMINISTRAÇÃO</w:t>
      </w:r>
      <w:r>
        <w:rPr>
          <w:spacing w:val="-5"/>
        </w:rPr>
        <w:t> </w:t>
      </w:r>
      <w:r>
        <w:rPr/>
        <w:t>PREVIAMENTE À CELEBRAÇÃO DO CONTRATO:</w:t>
      </w:r>
    </w:p>
    <w:p>
      <w:pPr>
        <w:pStyle w:val="BodyText"/>
        <w:spacing w:before="137"/>
        <w:rPr>
          <w:rFonts w:ascii="Arial"/>
          <w:b/>
        </w:rPr>
      </w:pPr>
    </w:p>
    <w:p>
      <w:pPr>
        <w:pStyle w:val="BodyText"/>
        <w:spacing w:line="360" w:lineRule="auto"/>
        <w:ind w:left="618" w:right="263" w:firstLine="1701"/>
        <w:jc w:val="both"/>
      </w:pPr>
      <w:r>
        <w:rPr/>
        <w:t>Elaboração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Projeto</w:t>
      </w:r>
      <w:r>
        <w:rPr>
          <w:spacing w:val="-7"/>
        </w:rPr>
        <w:t> </w:t>
      </w:r>
      <w:r>
        <w:rPr/>
        <w:t>Básico</w:t>
      </w:r>
      <w:r>
        <w:rPr>
          <w:spacing w:val="-2"/>
        </w:rPr>
        <w:t> </w:t>
      </w:r>
      <w:r>
        <w:rPr/>
        <w:t>e</w:t>
      </w:r>
      <w:r>
        <w:rPr>
          <w:spacing w:val="-4"/>
        </w:rPr>
        <w:t> </w:t>
      </w:r>
      <w:r>
        <w:rPr/>
        <w:t>orçamento</w:t>
      </w:r>
      <w:r>
        <w:rPr>
          <w:spacing w:val="-4"/>
        </w:rPr>
        <w:t> </w:t>
      </w:r>
      <w:r>
        <w:rPr/>
        <w:t>estimativo</w:t>
      </w:r>
      <w:r>
        <w:rPr>
          <w:spacing w:val="-3"/>
        </w:rPr>
        <w:t> </w:t>
      </w:r>
      <w:r>
        <w:rPr/>
        <w:t>para</w:t>
      </w:r>
      <w:r>
        <w:rPr>
          <w:spacing w:val="-4"/>
        </w:rPr>
        <w:t> </w:t>
      </w:r>
      <w:r>
        <w:rPr/>
        <w:t>tramitação</w:t>
      </w:r>
      <w:r>
        <w:rPr>
          <w:spacing w:val="-2"/>
        </w:rPr>
        <w:t> </w:t>
      </w:r>
      <w:r>
        <w:rPr/>
        <w:t>de procedimento licitatório para a contratação dos serviços.</w:t>
      </w:r>
    </w:p>
    <w:p>
      <w:pPr>
        <w:pStyle w:val="BodyText"/>
        <w:spacing w:line="360" w:lineRule="auto"/>
        <w:ind w:left="618" w:right="105" w:firstLine="1701"/>
        <w:jc w:val="both"/>
      </w:pPr>
      <w:r>
        <w:rPr/>
        <w:t>Prover os devidos acessos à contratada, de modo que a mesma possa executar satisfatoriamente os serviços, inclusive definindo horários para execução dos mesmos, local de armazenamento de insumos, formas de acesso dos operários etc</w:t>
      </w:r>
    </w:p>
    <w:p>
      <w:pPr>
        <w:pStyle w:val="BodyText"/>
        <w:spacing w:before="138"/>
      </w:pPr>
    </w:p>
    <w:p>
      <w:pPr>
        <w:pStyle w:val="Heading1"/>
        <w:numPr>
          <w:ilvl w:val="0"/>
          <w:numId w:val="1"/>
        </w:numPr>
        <w:tabs>
          <w:tab w:pos="1044" w:val="left" w:leader="none"/>
        </w:tabs>
        <w:spacing w:line="240" w:lineRule="auto" w:before="0" w:after="0"/>
        <w:ind w:left="1044" w:right="0" w:hanging="426"/>
        <w:jc w:val="left"/>
      </w:pPr>
      <w:r>
        <w:rPr/>
        <w:t>CONTRATAÇÕES</w:t>
      </w:r>
      <w:r>
        <w:rPr>
          <w:spacing w:val="-5"/>
        </w:rPr>
        <w:t> </w:t>
      </w:r>
      <w:r>
        <w:rPr/>
        <w:t>CORRELATAS</w:t>
      </w:r>
      <w:r>
        <w:rPr>
          <w:spacing w:val="-5"/>
        </w:rPr>
        <w:t> </w:t>
      </w:r>
      <w:r>
        <w:rPr/>
        <w:t>E/OU</w:t>
      </w:r>
      <w:r>
        <w:rPr>
          <w:spacing w:val="-5"/>
        </w:rPr>
        <w:t> </w:t>
      </w:r>
      <w:r>
        <w:rPr>
          <w:spacing w:val="-2"/>
        </w:rPr>
        <w:t>INTERDEPENDENTES</w:t>
      </w:r>
    </w:p>
    <w:p>
      <w:pPr>
        <w:pStyle w:val="BodyText"/>
        <w:spacing w:line="360" w:lineRule="auto" w:before="140"/>
        <w:ind w:left="618" w:right="104" w:firstLine="1701"/>
        <w:jc w:val="both"/>
      </w:pPr>
      <w:r>
        <w:rPr/>
        <w:t>A proposta de contratação objeto deste Estudo Técnico Preliminar guarda relação direta com o Contrato 69/2023 de acompanhamento e fiscalização de obras, visto que o presente pleito exige fiscalização exercida por mão de obra especializada na área de Engenharia/Arquitetura, com atribuições resguardadas pela Lei n. 5194/1966, Resolução n. 1010/2005/ CONFEA, Resolução n. 21/2012/CAU e Lei n. 14.133/2021</w:t>
      </w:r>
    </w:p>
    <w:p>
      <w:pPr>
        <w:pStyle w:val="BodyText"/>
        <w:spacing w:before="138"/>
      </w:pPr>
    </w:p>
    <w:p>
      <w:pPr>
        <w:pStyle w:val="Heading1"/>
        <w:numPr>
          <w:ilvl w:val="0"/>
          <w:numId w:val="1"/>
        </w:numPr>
        <w:tabs>
          <w:tab w:pos="1044" w:val="left" w:leader="none"/>
        </w:tabs>
        <w:spacing w:line="240" w:lineRule="auto" w:before="0" w:after="0"/>
        <w:ind w:left="1044" w:right="0" w:hanging="426"/>
        <w:jc w:val="left"/>
      </w:pPr>
      <w:r>
        <w:rPr/>
        <w:t>POSSÍVEIS</w:t>
      </w:r>
      <w:r>
        <w:rPr>
          <w:spacing w:val="-6"/>
        </w:rPr>
        <w:t> </w:t>
      </w:r>
      <w:r>
        <w:rPr/>
        <w:t>IMPACTOS</w:t>
      </w:r>
      <w:r>
        <w:rPr>
          <w:spacing w:val="-1"/>
        </w:rPr>
        <w:t> </w:t>
      </w:r>
      <w:r>
        <w:rPr>
          <w:spacing w:val="-2"/>
        </w:rPr>
        <w:t>AMBIENTAIS:</w:t>
      </w:r>
    </w:p>
    <w:p>
      <w:pPr>
        <w:pStyle w:val="BodyText"/>
        <w:spacing w:line="360" w:lineRule="auto" w:before="137"/>
        <w:ind w:left="618" w:right="104" w:firstLine="1701"/>
        <w:jc w:val="both"/>
      </w:pPr>
      <w:r>
        <w:rPr/>
        <w:t>Considerando o art. 18, §1º, inciso XII da Lei n. 14.133/2021, a contratação da presente obra de Engenharia observa critérios e práticas de sustentabilidade socioambiental e de acessibilidade previstos nas especificações técnicas do objeto e nos projetos executivos, anexos do Projeto Básico.</w:t>
      </w:r>
    </w:p>
    <w:p>
      <w:pPr>
        <w:pStyle w:val="BodyText"/>
        <w:ind w:left="2320"/>
        <w:jc w:val="both"/>
      </w:pPr>
      <w:r>
        <w:rPr/>
        <w:t>Outrossim,</w:t>
      </w:r>
      <w:r>
        <w:rPr>
          <w:spacing w:val="-2"/>
        </w:rPr>
        <w:t> </w:t>
      </w:r>
      <w:r>
        <w:rPr/>
        <w:t>além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/>
        <w:t>Lei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Licitações,</w:t>
      </w:r>
      <w:r>
        <w:rPr>
          <w:spacing w:val="-5"/>
        </w:rPr>
        <w:t> </w:t>
      </w:r>
      <w:r>
        <w:rPr/>
        <w:t>observa-se</w:t>
      </w:r>
      <w:r>
        <w:rPr>
          <w:spacing w:val="-2"/>
        </w:rPr>
        <w:t> </w:t>
      </w:r>
      <w:r>
        <w:rPr/>
        <w:t>ainda</w:t>
      </w:r>
      <w:r>
        <w:rPr>
          <w:spacing w:val="-1"/>
        </w:rPr>
        <w:t> </w:t>
      </w:r>
      <w:r>
        <w:rPr>
          <w:spacing w:val="-4"/>
        </w:rPr>
        <w:t>que:</w:t>
      </w:r>
    </w:p>
    <w:p>
      <w:pPr>
        <w:spacing w:line="360" w:lineRule="auto" w:before="139"/>
        <w:ind w:left="618" w:right="103" w:firstLine="1701"/>
        <w:jc w:val="both"/>
        <w:rPr>
          <w:sz w:val="24"/>
        </w:rPr>
      </w:pPr>
      <w:r>
        <w:rPr>
          <w:sz w:val="24"/>
        </w:rPr>
        <w:t>A obra de reforma com ampliação do Fórum da Comarca de Campo</w:t>
      </w:r>
      <w:r>
        <w:rPr>
          <w:spacing w:val="40"/>
          <w:sz w:val="24"/>
        </w:rPr>
        <w:t> </w:t>
      </w:r>
      <w:r>
        <w:rPr>
          <w:sz w:val="24"/>
        </w:rPr>
        <w:t>Verde </w:t>
      </w:r>
      <w:r>
        <w:rPr>
          <w:rFonts w:ascii="Arial" w:hAnsi="Arial"/>
          <w:b/>
          <w:sz w:val="24"/>
          <w:u w:val="single"/>
        </w:rPr>
        <w:t>não se enquadra entre os estabelecimentos e atividades utilizadores de</w:t>
      </w:r>
      <w:r>
        <w:rPr>
          <w:rFonts w:ascii="Arial" w:hAnsi="Arial"/>
          <w:b/>
          <w:sz w:val="24"/>
        </w:rPr>
        <w:t> </w:t>
      </w:r>
      <w:r>
        <w:rPr>
          <w:rFonts w:ascii="Arial" w:hAnsi="Arial"/>
          <w:b/>
          <w:sz w:val="24"/>
          <w:u w:val="single"/>
        </w:rPr>
        <w:t>recursos ambientais, efetiva ou potencialmente poluidores ou capazes, sob</w:t>
      </w:r>
      <w:r>
        <w:rPr>
          <w:rFonts w:ascii="Arial" w:hAnsi="Arial"/>
          <w:b/>
          <w:sz w:val="24"/>
        </w:rPr>
        <w:t> </w:t>
      </w:r>
      <w:r>
        <w:rPr>
          <w:rFonts w:ascii="Arial" w:hAnsi="Arial"/>
          <w:b/>
          <w:sz w:val="24"/>
          <w:u w:val="single"/>
        </w:rPr>
        <w:t>qualquer forma, de causar degradação ambiental</w:t>
      </w:r>
      <w:r>
        <w:rPr>
          <w:sz w:val="24"/>
        </w:rPr>
        <w:t>, nos termos do art. 10 da Lei n. </w:t>
      </w:r>
      <w:r>
        <w:rPr>
          <w:spacing w:val="-2"/>
          <w:sz w:val="24"/>
        </w:rPr>
        <w:t>6.938/81.</w:t>
      </w:r>
    </w:p>
    <w:p>
      <w:pPr>
        <w:spacing w:line="360" w:lineRule="auto" w:before="0"/>
        <w:ind w:left="618" w:right="103" w:firstLine="1701"/>
        <w:jc w:val="both"/>
        <w:rPr>
          <w:sz w:val="24"/>
        </w:rPr>
      </w:pPr>
      <w:r>
        <w:rPr>
          <w:sz w:val="24"/>
        </w:rPr>
        <w:t>A obra de reforma com ampliação do Fórum da Comarca de Campo</w:t>
      </w:r>
      <w:r>
        <w:rPr>
          <w:spacing w:val="40"/>
          <w:sz w:val="24"/>
        </w:rPr>
        <w:t> </w:t>
      </w:r>
      <w:r>
        <w:rPr>
          <w:sz w:val="24"/>
        </w:rPr>
        <w:t>Verde </w:t>
      </w:r>
      <w:r>
        <w:rPr>
          <w:rFonts w:ascii="Arial" w:hAnsi="Arial"/>
          <w:b/>
          <w:sz w:val="24"/>
          <w:u w:val="single"/>
        </w:rPr>
        <w:t>não se enquadra entre os empreendimentos passíveis de Estudo de impacto</w:t>
      </w:r>
      <w:r>
        <w:rPr>
          <w:rFonts w:ascii="Arial" w:hAnsi="Arial"/>
          <w:b/>
          <w:sz w:val="24"/>
        </w:rPr>
        <w:t> </w:t>
      </w:r>
      <w:r>
        <w:rPr>
          <w:rFonts w:ascii="Arial" w:hAnsi="Arial"/>
          <w:b/>
          <w:sz w:val="24"/>
          <w:u w:val="single"/>
        </w:rPr>
        <w:t>ambiental – EIA e relatório de impacto ambiental – RIMA</w:t>
      </w:r>
      <w:r>
        <w:rPr>
          <w:rFonts w:ascii="Arial" w:hAnsi="Arial"/>
          <w:b/>
          <w:sz w:val="24"/>
        </w:rPr>
        <w:t>, </w:t>
      </w:r>
      <w:r>
        <w:rPr>
          <w:sz w:val="24"/>
        </w:rPr>
        <w:t>nos termos do </w:t>
      </w:r>
      <w:r>
        <w:rPr>
          <w:rFonts w:ascii="Arial" w:hAnsi="Arial"/>
          <w:b/>
          <w:sz w:val="24"/>
        </w:rPr>
        <w:t>Art. 2º da Resolução CONAMA n. 1/1986</w:t>
      </w:r>
      <w:r>
        <w:rPr>
          <w:sz w:val="24"/>
        </w:rPr>
        <w:t>, pois não altera as condições do meio ambiente e/ou dos elementos presentes na região onde o imóvel será edificado, em consequência de atividades humanas (antrópicas).</w:t>
      </w:r>
    </w:p>
    <w:p>
      <w:pPr>
        <w:spacing w:after="0" w:line="360" w:lineRule="auto"/>
        <w:jc w:val="both"/>
        <w:rPr>
          <w:sz w:val="24"/>
        </w:rPr>
        <w:sectPr>
          <w:pgSz w:w="11910" w:h="16850"/>
          <w:pgMar w:header="152" w:footer="934" w:top="1440" w:bottom="1120" w:left="800" w:right="740"/>
        </w:sectPr>
      </w:pPr>
    </w:p>
    <w:p>
      <w:pPr>
        <w:pStyle w:val="BodyText"/>
        <w:spacing w:before="21"/>
      </w:pPr>
    </w:p>
    <w:p>
      <w:pPr>
        <w:spacing w:line="360" w:lineRule="auto" w:before="0"/>
        <w:ind w:left="618" w:right="105" w:firstLine="1701"/>
        <w:jc w:val="both"/>
        <w:rPr>
          <w:sz w:val="24"/>
        </w:rPr>
      </w:pPr>
      <w:r>
        <w:rPr>
          <w:sz w:val="24"/>
        </w:rPr>
        <w:t>A obra de reforma com ampliação do Fórum da Comarca de Campo</w:t>
      </w:r>
      <w:r>
        <w:rPr>
          <w:spacing w:val="40"/>
          <w:sz w:val="24"/>
        </w:rPr>
        <w:t> </w:t>
      </w:r>
      <w:r>
        <w:rPr>
          <w:sz w:val="24"/>
        </w:rPr>
        <w:t>Verde </w:t>
      </w:r>
      <w:r>
        <w:rPr>
          <w:rFonts w:ascii="Arial" w:hAnsi="Arial"/>
          <w:b/>
          <w:sz w:val="24"/>
          <w:u w:val="single"/>
        </w:rPr>
        <w:t>não tem necessidade de licenciamento ambiental</w:t>
      </w:r>
      <w:r>
        <w:rPr>
          <w:rFonts w:ascii="Arial" w:hAnsi="Arial"/>
          <w:b/>
          <w:sz w:val="24"/>
        </w:rPr>
        <w:t>, </w:t>
      </w:r>
      <w:r>
        <w:rPr>
          <w:sz w:val="24"/>
        </w:rPr>
        <w:t>pois não se enquadra entre os</w:t>
      </w:r>
      <w:r>
        <w:rPr>
          <w:spacing w:val="-1"/>
          <w:sz w:val="24"/>
        </w:rPr>
        <w:t> </w:t>
      </w:r>
      <w:r>
        <w:rPr>
          <w:sz w:val="24"/>
        </w:rPr>
        <w:t>empreendimentos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atividades</w:t>
      </w:r>
      <w:r>
        <w:rPr>
          <w:spacing w:val="-1"/>
          <w:sz w:val="24"/>
        </w:rPr>
        <w:t> </w:t>
      </w:r>
      <w:r>
        <w:rPr>
          <w:sz w:val="24"/>
        </w:rPr>
        <w:t>sujeitas</w:t>
      </w:r>
      <w:r>
        <w:rPr>
          <w:spacing w:val="-3"/>
          <w:sz w:val="24"/>
        </w:rPr>
        <w:t> </w:t>
      </w:r>
      <w:r>
        <w:rPr>
          <w:sz w:val="24"/>
        </w:rPr>
        <w:t>ao</w:t>
      </w:r>
      <w:r>
        <w:rPr>
          <w:spacing w:val="-2"/>
          <w:sz w:val="24"/>
        </w:rPr>
        <w:t> </w:t>
      </w:r>
      <w:r>
        <w:rPr>
          <w:sz w:val="24"/>
        </w:rPr>
        <w:t>licenciamento ambiental, conforme </w:t>
      </w:r>
      <w:r>
        <w:rPr>
          <w:rFonts w:ascii="Arial" w:hAnsi="Arial"/>
          <w:b/>
          <w:sz w:val="24"/>
        </w:rPr>
        <w:t>Art. 2º, § 1º, Anexo I da Resolução CONAMA n. 237/1997</w:t>
      </w:r>
      <w:r>
        <w:rPr>
          <w:sz w:val="24"/>
        </w:rPr>
        <w:t>.</w:t>
      </w:r>
    </w:p>
    <w:p>
      <w:pPr>
        <w:pStyle w:val="BodyText"/>
        <w:spacing w:line="360" w:lineRule="auto"/>
        <w:ind w:left="618" w:right="105" w:firstLine="1701"/>
        <w:jc w:val="both"/>
      </w:pPr>
      <w:r>
        <w:rPr/>
        <w:t>Por fim, observando a Resolução CONAMA n. 307/2002, o projeto básico prevê entre as obrigações da contratada, destinação adequada de resíduos sólidos, comuns à obras de construção civil.</w:t>
      </w:r>
    </w:p>
    <w:p>
      <w:pPr>
        <w:pStyle w:val="BodyText"/>
        <w:spacing w:before="138"/>
      </w:pPr>
    </w:p>
    <w:p>
      <w:pPr>
        <w:pStyle w:val="Heading1"/>
        <w:numPr>
          <w:ilvl w:val="0"/>
          <w:numId w:val="1"/>
        </w:numPr>
        <w:tabs>
          <w:tab w:pos="1043" w:val="left" w:leader="none"/>
          <w:tab w:pos="1045" w:val="left" w:leader="none"/>
        </w:tabs>
        <w:spacing w:line="360" w:lineRule="auto" w:before="1" w:after="0"/>
        <w:ind w:left="1045" w:right="281" w:hanging="428"/>
        <w:jc w:val="left"/>
      </w:pPr>
      <w:r>
        <w:rPr/>
        <w:t>POSICIONAMENTO</w:t>
      </w:r>
      <w:r>
        <w:rPr>
          <w:spacing w:val="-5"/>
        </w:rPr>
        <w:t> </w:t>
      </w:r>
      <w:r>
        <w:rPr/>
        <w:t>CONCLUSIVO</w:t>
      </w:r>
      <w:r>
        <w:rPr>
          <w:spacing w:val="-5"/>
        </w:rPr>
        <w:t> </w:t>
      </w:r>
      <w:r>
        <w:rPr/>
        <w:t>SOBRE</w:t>
      </w:r>
      <w:r>
        <w:rPr>
          <w:spacing w:val="-8"/>
        </w:rPr>
        <w:t> </w:t>
      </w:r>
      <w:r>
        <w:rPr/>
        <w:t>A</w:t>
      </w:r>
      <w:r>
        <w:rPr>
          <w:spacing w:val="-6"/>
        </w:rPr>
        <w:t> </w:t>
      </w:r>
      <w:r>
        <w:rPr/>
        <w:t>ADEQUAÇÃO</w:t>
      </w:r>
      <w:r>
        <w:rPr>
          <w:spacing w:val="-3"/>
        </w:rPr>
        <w:t> </w:t>
      </w:r>
      <w:r>
        <w:rPr/>
        <w:t>DA</w:t>
      </w:r>
      <w:r>
        <w:rPr>
          <w:spacing w:val="-9"/>
        </w:rPr>
        <w:t> </w:t>
      </w:r>
      <w:r>
        <w:rPr/>
        <w:t>CONTRATAÇÃO PARA O ATENDIMENTO DA NECESSIDADE A QUE SE DESTINA:</w:t>
      </w:r>
    </w:p>
    <w:p>
      <w:pPr>
        <w:pStyle w:val="BodyText"/>
        <w:spacing w:before="136"/>
        <w:rPr>
          <w:rFonts w:ascii="Arial"/>
          <w:b/>
        </w:rPr>
      </w:pPr>
    </w:p>
    <w:p>
      <w:pPr>
        <w:pStyle w:val="BodyText"/>
        <w:spacing w:line="360" w:lineRule="auto"/>
        <w:ind w:left="618" w:right="106" w:firstLine="1701"/>
        <w:jc w:val="both"/>
      </w:pPr>
      <w:r>
        <w:rPr/>
        <w:t>Os estudos preliminares evidenciam que a contratação da solução ora descrita, ou seja, contratação de empresa de engenharia para execução de obra de reforma com ampliação do Fórum da Comarca de Campo Verde, mostra-se tecnicamente possível e fundamentadamente necessária.</w:t>
      </w:r>
    </w:p>
    <w:p>
      <w:pPr>
        <w:pStyle w:val="BodyText"/>
        <w:spacing w:before="15"/>
      </w:pPr>
    </w:p>
    <w:p>
      <w:pPr>
        <w:pStyle w:val="BodyText"/>
        <w:ind w:left="6880"/>
      </w:pPr>
      <w:r>
        <w:rPr/>
        <w:t>Cuiabá,</w:t>
      </w:r>
      <w:r>
        <w:rPr>
          <w:spacing w:val="-2"/>
        </w:rPr>
        <w:t> </w:t>
      </w:r>
      <w:r>
        <w:rPr/>
        <w:t>26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outubro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4"/>
        </w:rPr>
        <w:t>2023.</w:t>
      </w:r>
    </w:p>
    <w:p>
      <w:pPr>
        <w:spacing w:before="275"/>
        <w:ind w:left="507" w:right="3" w:firstLine="0"/>
        <w:jc w:val="center"/>
        <w:rPr>
          <w:rFonts w:ascii="Arial"/>
          <w:i/>
          <w:sz w:val="20"/>
        </w:rPr>
      </w:pPr>
      <w:r>
        <w:rPr>
          <w:rFonts w:ascii="Arial"/>
          <w:i/>
          <w:sz w:val="20"/>
        </w:rPr>
        <w:t>(assinado</w:t>
      </w:r>
      <w:r>
        <w:rPr>
          <w:rFonts w:ascii="Arial"/>
          <w:i/>
          <w:spacing w:val="-12"/>
          <w:sz w:val="20"/>
        </w:rPr>
        <w:t> </w:t>
      </w:r>
      <w:r>
        <w:rPr>
          <w:rFonts w:ascii="Arial"/>
          <w:i/>
          <w:spacing w:val="-2"/>
          <w:sz w:val="20"/>
        </w:rPr>
        <w:t>digitalmente)</w:t>
      </w:r>
    </w:p>
    <w:p>
      <w:pPr>
        <w:spacing w:before="1"/>
        <w:ind w:left="507" w:right="0" w:firstLine="0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sz w:val="24"/>
        </w:rPr>
        <w:t>Diogo</w:t>
      </w:r>
      <w:r>
        <w:rPr>
          <w:rFonts w:ascii="Arial" w:hAnsi="Arial"/>
          <w:b/>
          <w:i/>
          <w:spacing w:val="-3"/>
          <w:sz w:val="24"/>
        </w:rPr>
        <w:t> </w:t>
      </w:r>
      <w:r>
        <w:rPr>
          <w:rFonts w:ascii="Arial" w:hAnsi="Arial"/>
          <w:b/>
          <w:i/>
          <w:spacing w:val="-2"/>
          <w:sz w:val="24"/>
        </w:rPr>
        <w:t>Gonçalves</w:t>
      </w:r>
    </w:p>
    <w:p>
      <w:pPr>
        <w:spacing w:before="2"/>
        <w:ind w:left="3591" w:right="3083" w:hanging="3"/>
        <w:jc w:val="center"/>
        <w:rPr>
          <w:sz w:val="20"/>
        </w:rPr>
      </w:pPr>
      <w:r>
        <w:rPr>
          <w:sz w:val="20"/>
        </w:rPr>
        <w:t>Diretor do Depto. de Obras mat. 9353 Engenheiro</w:t>
      </w:r>
      <w:r>
        <w:rPr>
          <w:spacing w:val="-11"/>
          <w:sz w:val="20"/>
        </w:rPr>
        <w:t> </w:t>
      </w:r>
      <w:r>
        <w:rPr>
          <w:sz w:val="20"/>
        </w:rPr>
        <w:t>Civil</w:t>
      </w:r>
      <w:r>
        <w:rPr>
          <w:spacing w:val="-14"/>
          <w:sz w:val="20"/>
        </w:rPr>
        <w:t> </w:t>
      </w:r>
      <w:r>
        <w:rPr>
          <w:sz w:val="20"/>
        </w:rPr>
        <w:t>CONFEA</w:t>
      </w:r>
      <w:r>
        <w:rPr>
          <w:spacing w:val="-11"/>
          <w:sz w:val="20"/>
        </w:rPr>
        <w:t> </w:t>
      </w:r>
      <w:r>
        <w:rPr>
          <w:sz w:val="20"/>
        </w:rPr>
        <w:t>120.920.394-4 CPF n. 593.770.701-04</w:t>
      </w:r>
    </w:p>
    <w:p>
      <w:pPr>
        <w:spacing w:after="0"/>
        <w:jc w:val="center"/>
        <w:rPr>
          <w:sz w:val="20"/>
        </w:rPr>
        <w:sectPr>
          <w:pgSz w:w="11910" w:h="16850"/>
          <w:pgMar w:header="152" w:footer="934" w:top="1440" w:bottom="1120" w:left="800" w:right="740"/>
        </w:sectPr>
      </w:pPr>
    </w:p>
    <w:p>
      <w:pPr>
        <w:spacing w:before="300"/>
        <w:ind w:left="148" w:right="0" w:firstLine="0"/>
        <w:jc w:val="center"/>
        <w:rPr>
          <w:rFonts w:ascii="Calibri"/>
          <w:sz w:val="56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476250</wp:posOffset>
            </wp:positionH>
            <wp:positionV relativeFrom="paragraph">
              <wp:posOffset>0</wp:posOffset>
            </wp:positionV>
            <wp:extent cx="847725" cy="828675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56"/>
        </w:rPr>
        <w:t>Protocolo de </w:t>
      </w:r>
      <w:r>
        <w:rPr>
          <w:rFonts w:ascii="Calibri"/>
          <w:spacing w:val="-2"/>
          <w:sz w:val="56"/>
        </w:rPr>
        <w:t>Assinatura(s)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54"/>
        <w:rPr>
          <w:rFonts w:ascii="Calibri"/>
          <w:sz w:val="22"/>
        </w:rPr>
      </w:pPr>
    </w:p>
    <w:p>
      <w:pPr>
        <w:spacing w:before="0"/>
        <w:ind w:left="326" w:right="2481" w:firstLine="0"/>
        <w:jc w:val="left"/>
        <w:rPr>
          <w:rFonts w:ascii="Calibri" w:hAnsi="Calibri"/>
          <w:sz w:val="22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6286500</wp:posOffset>
            </wp:positionH>
            <wp:positionV relativeFrom="paragraph">
              <wp:posOffset>16063</wp:posOffset>
            </wp:positionV>
            <wp:extent cx="1193800" cy="1193800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22"/>
        </w:rPr>
        <w:t>O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documento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acima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foi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submetido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para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assinatura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eletrônica,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na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plataforma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assinaturas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do Poder Judiciário do Estado de Mato Grosso.</w:t>
      </w:r>
    </w:p>
    <w:p>
      <w:pPr>
        <w:spacing w:before="0"/>
        <w:ind w:left="326" w:right="1557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Para assegurar a autenticidade e validar as assinaturas, recomendamos o uso do aplicativo </w:t>
      </w:r>
      <w:hyperlink r:id="rId19">
        <w:r>
          <w:rPr>
            <w:rFonts w:ascii="Calibri" w:hAnsi="Calibri"/>
            <w:sz w:val="22"/>
          </w:rPr>
          <w:t>TodoJud,</w:t>
        </w:r>
      </w:hyperlink>
      <w:r>
        <w:rPr>
          <w:rFonts w:ascii="Calibri" w:hAnsi="Calibri"/>
          <w:sz w:val="22"/>
        </w:rPr>
        <w:t> disponível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para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download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em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seu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dispositivo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móvel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através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da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Google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Play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Store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ou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da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Apple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App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Store.</w:t>
      </w:r>
    </w:p>
    <w:p>
      <w:pPr>
        <w:pStyle w:val="BodyText"/>
        <w:spacing w:before="157"/>
        <w:rPr>
          <w:rFonts w:ascii="Calibri"/>
          <w:sz w:val="22"/>
        </w:rPr>
      </w:pPr>
    </w:p>
    <w:p>
      <w:pPr>
        <w:spacing w:before="0"/>
        <w:ind w:left="326" w:right="0" w:firstLine="0"/>
        <w:jc w:val="left"/>
        <w:rPr>
          <w:rFonts w:ascii="Calibri" w:hAnsi="Calibri"/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7248128</wp:posOffset>
                </wp:positionH>
                <wp:positionV relativeFrom="paragraph">
                  <wp:posOffset>292499</wp:posOffset>
                </wp:positionV>
                <wp:extent cx="228600" cy="5373370"/>
                <wp:effectExtent l="0" t="0" r="0" b="0"/>
                <wp:wrapNone/>
                <wp:docPr id="19" name="Textbox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Textbox 19"/>
                      <wps:cNvSpPr txBox="1"/>
                      <wps:spPr>
                        <a:xfrm>
                          <a:off x="0" y="0"/>
                          <a:ext cx="228600" cy="5373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0"/>
                              <w:ind w:left="20"/>
                              <w:rPr>
                                <w:rFonts w:ascii="Segoe UI" w:hAnsi="Segoe UI"/>
                              </w:rPr>
                            </w:pPr>
                            <w:r>
                              <w:rPr>
                                <w:rFonts w:ascii="Segoe UI" w:hAnsi="Segoe UI"/>
                              </w:rPr>
                              <w:t>Documento assinado por meio eletrônico, conforme MP 2200-2 de </w:t>
                            </w:r>
                            <w:r>
                              <w:rPr>
                                <w:rFonts w:ascii="Segoe UI" w:hAnsi="Segoe UI"/>
                                <w:spacing w:val="-2"/>
                              </w:rPr>
                              <w:t>24/08/2001.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0.718811pt;margin-top:23.031418pt;width:18pt;height:423.1pt;mso-position-horizontal-relative:page;mso-position-vertical-relative:paragraph;z-index:15732224" type="#_x0000_t202" id="docshape9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before="20"/>
                        <w:ind w:left="20"/>
                        <w:rPr>
                          <w:rFonts w:ascii="Segoe UI" w:hAnsi="Segoe UI"/>
                        </w:rPr>
                      </w:pPr>
                      <w:r>
                        <w:rPr>
                          <w:rFonts w:ascii="Segoe UI" w:hAnsi="Segoe UI"/>
                        </w:rPr>
                        <w:t>Documento assinado por meio eletrônico, conforme MP 2200-2 de </w:t>
                      </w:r>
                      <w:r>
                        <w:rPr>
                          <w:rFonts w:ascii="Segoe UI" w:hAnsi="Segoe UI"/>
                          <w:spacing w:val="-2"/>
                        </w:rPr>
                        <w:t>24/08/2001.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/>
          <w:b/>
          <w:sz w:val="22"/>
        </w:rPr>
        <w:t>Código verificador - AD:024E0000-F010-DEB3-BBA6-</w:t>
      </w:r>
      <w:r>
        <w:rPr>
          <w:rFonts w:ascii="Calibri" w:hAnsi="Calibri"/>
          <w:b/>
          <w:spacing w:val="-2"/>
          <w:sz w:val="22"/>
        </w:rPr>
        <w:t>08DBD63E5717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76"/>
        <w:rPr>
          <w:rFonts w:ascii="Calibri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173679</wp:posOffset>
            </wp:positionH>
            <wp:positionV relativeFrom="paragraph">
              <wp:posOffset>282131</wp:posOffset>
            </wp:positionV>
            <wp:extent cx="3140106" cy="1169288"/>
            <wp:effectExtent l="0" t="0" r="0" b="0"/>
            <wp:wrapTopAndBottom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0106" cy="1169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15"/>
      <w:footerReference w:type="default" r:id="rId16"/>
      <w:pgSz w:w="11900" w:h="16840"/>
      <w:pgMar w:header="0" w:footer="0" w:top="300" w:bottom="280" w:left="160" w:right="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Segoe UI">
    <w:altName w:val="Segoe UI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34752">
              <wp:simplePos x="0" y="0"/>
              <wp:positionH relativeFrom="page">
                <wp:posOffset>900683</wp:posOffset>
              </wp:positionH>
              <wp:positionV relativeFrom="page">
                <wp:posOffset>9978466</wp:posOffset>
              </wp:positionV>
              <wp:extent cx="5922645" cy="1270"/>
              <wp:effectExtent l="0" t="0" r="0" b="0"/>
              <wp:wrapNone/>
              <wp:docPr id="12" name="Graphic 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" name="Graphic 12"/>
                    <wps:cNvSpPr/>
                    <wps:spPr>
                      <a:xfrm>
                        <a:off x="0" y="0"/>
                        <a:ext cx="592264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22645" h="0">
                            <a:moveTo>
                              <a:pt x="0" y="0"/>
                            </a:moveTo>
                            <a:lnTo>
                              <a:pt x="5922264" y="0"/>
                            </a:lnTo>
                          </a:path>
                        </a:pathLst>
                      </a:custGeom>
                      <a:ln w="9906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881728" from="70.919998pt,785.705994pt" to="537.240020pt,785.705994pt" stroked="true" strokeweight=".78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35264">
              <wp:simplePos x="0" y="0"/>
              <wp:positionH relativeFrom="page">
                <wp:posOffset>3457447</wp:posOffset>
              </wp:positionH>
              <wp:positionV relativeFrom="page">
                <wp:posOffset>10015219</wp:posOffset>
              </wp:positionV>
              <wp:extent cx="1007110" cy="177800"/>
              <wp:effectExtent l="0" t="0" r="0" b="0"/>
              <wp:wrapNone/>
              <wp:docPr id="13" name="Textbox 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" name="Textbox 13"/>
                    <wps:cNvSpPr txBox="1"/>
                    <wps:spPr>
                      <a:xfrm>
                        <a:off x="0" y="0"/>
                        <a:ext cx="100711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64" w:lineRule="exact"/>
                            <w:ind w:left="2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Página</w:t>
                          </w:r>
                          <w:r>
                            <w:rPr>
                              <w:rFonts w:ascii="Calibri" w:hAnsi="Calibri"/>
                              <w:spacing w:val="-2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</w:rPr>
                            <w:instrText> PAGE </w:instrText>
                          </w:r>
                          <w:r>
                            <w:rPr>
                              <w:rFonts w:ascii="Calibri" w:hAnsi="Calibri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</w:rPr>
                            <w:t>10</w:t>
                          </w:r>
                          <w:r>
                            <w:rPr>
                              <w:rFonts w:ascii="Calibri" w:hAnsi="Calibri"/>
                            </w:rPr>
                            <w:fldChar w:fldCharType="end"/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</w:rPr>
                            <w:t>de </w:t>
                          </w:r>
                          <w:r>
                            <w:rPr>
                              <w:rFonts w:ascii="Calibri" w:hAnsi="Calibri"/>
                              <w:spacing w:val="-5"/>
                            </w:rPr>
                            <w:t>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2.239990pt;margin-top:788.599976pt;width:79.3pt;height:14pt;mso-position-horizontal-relative:page;mso-position-vertical-relative:page;z-index:-15881216" type="#_x0000_t202" id="docshape8" filled="false" stroked="false">
              <v:textbox inset="0,0,0,0">
                <w:txbxContent>
                  <w:p>
                    <w:pPr>
                      <w:pStyle w:val="BodyText"/>
                      <w:spacing w:line="264" w:lineRule="exact"/>
                      <w:ind w:left="2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Página</w:t>
                    </w:r>
                    <w:r>
                      <w:rPr>
                        <w:rFonts w:ascii="Calibri" w:hAnsi="Calibri"/>
                        <w:spacing w:val="-2"/>
                      </w:rPr>
                      <w:t> </w:t>
                    </w:r>
                    <w:r>
                      <w:rPr>
                        <w:rFonts w:ascii="Calibri" w:hAnsi="Calibri"/>
                      </w:rPr>
                      <w:fldChar w:fldCharType="begin"/>
                    </w:r>
                    <w:r>
                      <w:rPr>
                        <w:rFonts w:ascii="Calibri" w:hAnsi="Calibri"/>
                      </w:rPr>
                      <w:instrText> PAGE </w:instrText>
                    </w:r>
                    <w:r>
                      <w:rPr>
                        <w:rFonts w:ascii="Calibri" w:hAnsi="Calibri"/>
                      </w:rPr>
                      <w:fldChar w:fldCharType="separate"/>
                    </w:r>
                    <w:r>
                      <w:rPr>
                        <w:rFonts w:ascii="Calibri" w:hAnsi="Calibri"/>
                      </w:rPr>
                      <w:t>10</w:t>
                    </w:r>
                    <w:r>
                      <w:rPr>
                        <w:rFonts w:ascii="Calibri" w:hAnsi="Calibri"/>
                      </w:rPr>
                      <w:fldChar w:fldCharType="end"/>
                    </w:r>
                    <w:r>
                      <w:rPr>
                        <w:rFonts w:ascii="Calibri" w:hAnsi="Calibri"/>
                        <w:spacing w:val="-1"/>
                      </w:rPr>
                      <w:t> </w:t>
                    </w:r>
                    <w:r>
                      <w:rPr>
                        <w:rFonts w:ascii="Calibri" w:hAnsi="Calibri"/>
                      </w:rPr>
                      <w:t>de </w:t>
                    </w:r>
                    <w:r>
                      <w:rPr>
                        <w:rFonts w:ascii="Calibri" w:hAnsi="Calibri"/>
                        <w:spacing w:val="-5"/>
                      </w:rPr>
                      <w:t>10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432192">
          <wp:simplePos x="0" y="0"/>
          <wp:positionH relativeFrom="page">
            <wp:posOffset>494664</wp:posOffset>
          </wp:positionH>
          <wp:positionV relativeFrom="page">
            <wp:posOffset>96519</wp:posOffset>
          </wp:positionV>
          <wp:extent cx="874394" cy="795019"/>
          <wp:effectExtent l="0" t="0" r="0" b="0"/>
          <wp:wrapNone/>
          <wp:docPr id="1" name="Image 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74394" cy="7950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432704">
              <wp:simplePos x="0" y="0"/>
              <wp:positionH relativeFrom="page">
                <wp:posOffset>1429003</wp:posOffset>
              </wp:positionH>
              <wp:positionV relativeFrom="page">
                <wp:posOffset>276425</wp:posOffset>
              </wp:positionV>
              <wp:extent cx="3573145" cy="503555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3573145" cy="5035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22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2"/>
                            </w:rPr>
                            <w:t>PODER</w:t>
                          </w:r>
                          <w:r>
                            <w:rPr>
                              <w:rFonts w:ascii="Arial" w:hAnsi="Arial"/>
                              <w:b/>
                              <w:spacing w:val="-8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2"/>
                            </w:rPr>
                            <w:t>JUDICIÁRIO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2"/>
                            </w:rPr>
                            <w:t>DO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2"/>
                            </w:rPr>
                            <w:t>ESTADO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8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2"/>
                            </w:rPr>
                            <w:t>MATO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2"/>
                            </w:rPr>
                            <w:t>GROSSO COORDENADORIA DE INFRAESTRUTURA DEPARTAMENTO DE OBRAS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12.519997pt;margin-top:21.765759pt;width:281.350pt;height:39.65pt;mso-position-horizontal-relative:page;mso-position-vertical-relative:page;z-index:-15883776" type="#_x0000_t202" id="docshape1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22"/>
                      </w:rPr>
                    </w:pPr>
                    <w:r>
                      <w:rPr>
                        <w:rFonts w:ascii="Arial" w:hAnsi="Arial"/>
                        <w:b/>
                        <w:sz w:val="22"/>
                      </w:rPr>
                      <w:t>PODER</w:t>
                    </w:r>
                    <w:r>
                      <w:rPr>
                        <w:rFonts w:ascii="Arial" w:hAnsi="Arial"/>
                        <w:b/>
                        <w:spacing w:val="-8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JUDICIÁRIO</w:t>
                    </w:r>
                    <w:r>
                      <w:rPr>
                        <w:rFonts w:ascii="Arial" w:hAnsi="Arial"/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DO</w:t>
                    </w:r>
                    <w:r>
                      <w:rPr>
                        <w:rFonts w:ascii="Arial" w:hAnsi="Arial"/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ESTADO</w:t>
                    </w:r>
                    <w:r>
                      <w:rPr>
                        <w:rFonts w:ascii="Arial" w:hAnsi="Arial"/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8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MATO</w:t>
                    </w:r>
                    <w:r>
                      <w:rPr>
                        <w:rFonts w:ascii="Arial" w:hAnsi="Arial"/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GROSSO COORDENADORIA DE INFRAESTRUTURA DEPARTAMENTO DE OBRAS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433216">
          <wp:simplePos x="0" y="0"/>
          <wp:positionH relativeFrom="page">
            <wp:posOffset>494664</wp:posOffset>
          </wp:positionH>
          <wp:positionV relativeFrom="page">
            <wp:posOffset>96519</wp:posOffset>
          </wp:positionV>
          <wp:extent cx="874394" cy="795019"/>
          <wp:effectExtent l="0" t="0" r="0" b="0"/>
          <wp:wrapNone/>
          <wp:docPr id="9" name="Image 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9" name="Image 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74394" cy="7950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433728">
              <wp:simplePos x="0" y="0"/>
              <wp:positionH relativeFrom="page">
                <wp:posOffset>1441703</wp:posOffset>
              </wp:positionH>
              <wp:positionV relativeFrom="page">
                <wp:posOffset>922446</wp:posOffset>
              </wp:positionV>
              <wp:extent cx="5204460" cy="1270"/>
              <wp:effectExtent l="0" t="0" r="0" b="0"/>
              <wp:wrapNone/>
              <wp:docPr id="10" name="Graphic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Graphic 10"/>
                    <wps:cNvSpPr/>
                    <wps:spPr>
                      <a:xfrm>
                        <a:off x="0" y="0"/>
                        <a:ext cx="520446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204460" h="0">
                            <a:moveTo>
                              <a:pt x="0" y="0"/>
                            </a:moveTo>
                            <a:lnTo>
                              <a:pt x="5204240" y="0"/>
                            </a:lnTo>
                          </a:path>
                        </a:pathLst>
                      </a:custGeom>
                      <a:ln w="8901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882752" from="113.519997pt,72.633621pt" to="523.302735pt,72.633621pt" stroked="true" strokeweight=".700868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34240">
              <wp:simplePos x="0" y="0"/>
              <wp:positionH relativeFrom="page">
                <wp:posOffset>1429003</wp:posOffset>
              </wp:positionH>
              <wp:positionV relativeFrom="page">
                <wp:posOffset>276425</wp:posOffset>
              </wp:positionV>
              <wp:extent cx="3573145" cy="503555"/>
              <wp:effectExtent l="0" t="0" r="0" b="0"/>
              <wp:wrapNone/>
              <wp:docPr id="11" name="Textbox 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" name="Textbox 11"/>
                    <wps:cNvSpPr txBox="1"/>
                    <wps:spPr>
                      <a:xfrm>
                        <a:off x="0" y="0"/>
                        <a:ext cx="3573145" cy="5035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22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2"/>
                            </w:rPr>
                            <w:t>PODER</w:t>
                          </w:r>
                          <w:r>
                            <w:rPr>
                              <w:rFonts w:ascii="Arial" w:hAnsi="Arial"/>
                              <w:b/>
                              <w:spacing w:val="-8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2"/>
                            </w:rPr>
                            <w:t>JUDICIÁRIO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2"/>
                            </w:rPr>
                            <w:t>DO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2"/>
                            </w:rPr>
                            <w:t>ESTADO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8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2"/>
                            </w:rPr>
                            <w:t>MATO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2"/>
                            </w:rPr>
                            <w:t>GROSSO COORDENADORIA DE INFRAESTRUTURA DEPARTAMENTO DE OBRAS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2.519997pt;margin-top:21.765759pt;width:281.350pt;height:39.65pt;mso-position-horizontal-relative:page;mso-position-vertical-relative:page;z-index:-15882240" type="#_x0000_t202" id="docshape7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22"/>
                      </w:rPr>
                    </w:pPr>
                    <w:r>
                      <w:rPr>
                        <w:rFonts w:ascii="Arial" w:hAnsi="Arial"/>
                        <w:b/>
                        <w:sz w:val="22"/>
                      </w:rPr>
                      <w:t>PODER</w:t>
                    </w:r>
                    <w:r>
                      <w:rPr>
                        <w:rFonts w:ascii="Arial" w:hAnsi="Arial"/>
                        <w:b/>
                        <w:spacing w:val="-8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JUDICIÁRIO</w:t>
                    </w:r>
                    <w:r>
                      <w:rPr>
                        <w:rFonts w:ascii="Arial" w:hAnsi="Arial"/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DO</w:t>
                    </w:r>
                    <w:r>
                      <w:rPr>
                        <w:rFonts w:ascii="Arial" w:hAnsi="Arial"/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ESTADO</w:t>
                    </w:r>
                    <w:r>
                      <w:rPr>
                        <w:rFonts w:ascii="Arial" w:hAnsi="Arial"/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8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MATO</w:t>
                    </w:r>
                    <w:r>
                      <w:rPr>
                        <w:rFonts w:ascii="Arial" w:hAnsi="Arial"/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GROSSO COORDENADORIA DE INFRAESTRUTURA DEPARTAMENTO DE OBRAS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901" w:hanging="284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"/>
      <w:lvlJc w:val="left"/>
      <w:pPr>
        <w:ind w:left="901" w:hanging="28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0" w:hanging="28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221" w:hanging="28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42" w:hanging="28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262" w:hanging="28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283" w:hanging="28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304" w:hanging="28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24" w:hanging="284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900" w:hanging="282"/>
      <w:outlineLvl w:val="1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900" w:hanging="282"/>
    </w:pPr>
    <w:rPr>
      <w:rFonts w:ascii="Arial MT" w:hAnsi="Arial MT" w:eastAsia="Arial MT" w:cs="Arial MT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gestaoestrategica.tjmt.jus.br/pagina/6091ab356fe764001bd6d4df" TargetMode="External"/><Relationship Id="rId18" Type="http://schemas.openxmlformats.org/officeDocument/2006/relationships/image" Target="media/image8.jpeg"/><Relationship Id="rId3" Type="http://schemas.openxmlformats.org/officeDocument/2006/relationships/theme" Target="theme/theme1.xml"/><Relationship Id="rId21" Type="http://schemas.openxmlformats.org/officeDocument/2006/relationships/numbering" Target="numbering.xml"/><Relationship Id="rId7" Type="http://schemas.openxmlformats.org/officeDocument/2006/relationships/image" Target="media/image3.jpeg"/><Relationship Id="rId12" Type="http://schemas.openxmlformats.org/officeDocument/2006/relationships/image" Target="media/image5.jpeg"/><Relationship Id="rId17" Type="http://schemas.openxmlformats.org/officeDocument/2006/relationships/image" Target="media/image7.png"/><Relationship Id="rId2" Type="http://schemas.openxmlformats.org/officeDocument/2006/relationships/fontTable" Target="fontTable.xml"/><Relationship Id="rId16" Type="http://schemas.openxmlformats.org/officeDocument/2006/relationships/footer" Target="footer2.xml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gestaoestrategica.tjmt.jus.br/pagina/63c9cb82526d9d001b22ccdf" TargetMode="External"/><Relationship Id="rId5" Type="http://schemas.openxmlformats.org/officeDocument/2006/relationships/header" Target="header1.xml"/><Relationship Id="rId15" Type="http://schemas.openxmlformats.org/officeDocument/2006/relationships/header" Target="header3.xml"/><Relationship Id="rId23" Type="http://schemas.openxmlformats.org/officeDocument/2006/relationships/customXml" Target="../customXml/item2.xml"/><Relationship Id="rId10" Type="http://schemas.openxmlformats.org/officeDocument/2006/relationships/image" Target="media/image4.jpeg"/><Relationship Id="rId19" Type="http://schemas.openxmlformats.org/officeDocument/2006/relationships/hyperlink" Target="https://todojud.tjmt.jus.br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customXml" Target="../customXml/item1.xml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78CD9D5A84BF45A79485737130D960" ma:contentTypeVersion="14" ma:contentTypeDescription="Crie um novo documento." ma:contentTypeScope="" ma:versionID="9246bc8beaa7478240825e5e7d336550">
  <xsd:schema xmlns:xsd="http://www.w3.org/2001/XMLSchema" xmlns:xs="http://www.w3.org/2001/XMLSchema" xmlns:p="http://schemas.microsoft.com/office/2006/metadata/properties" xmlns:ns2="11fb0fcf-4c21-42f6-9c50-ce3bc9e3a9d2" xmlns:ns3="76e2ef3f-3702-49dc-a38f-b9dbdc0834c6" targetNamespace="http://schemas.microsoft.com/office/2006/metadata/properties" ma:root="true" ma:fieldsID="f9a21d28fd39a0f6889b045fd5ae596f" ns2:_="" ns3:_="">
    <xsd:import namespace="11fb0fcf-4c21-42f6-9c50-ce3bc9e3a9d2"/>
    <xsd:import namespace="76e2ef3f-3702-49dc-a38f-b9dbdc0834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fb0fcf-4c21-42f6-9c50-ce3bc9e3a9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Marcações de imagem" ma:readOnly="false" ma:fieldId="{5cf76f15-5ced-4ddc-b409-7134ff3c332f}" ma:taxonomyMulti="true" ma:sspId="6c061fea-d88a-4cec-9c75-8e75291bb1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e2ef3f-3702-49dc-a38f-b9dbdc0834c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6a145f3e-aac5-40f3-a7f1-ba2ebfc26cb5}" ma:internalName="TaxCatchAll" ma:showField="CatchAllData" ma:web="76e2ef3f-3702-49dc-a38f-b9dbdc0834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82A1455-D3D6-442F-A663-E7B7407E43CA}"/>
</file>

<file path=customXml/itemProps2.xml><?xml version="1.0" encoding="utf-8"?>
<ds:datastoreItem xmlns:ds="http://schemas.openxmlformats.org/officeDocument/2006/customXml" ds:itemID="{B83CE5D6-7998-43D9-958A-9D0EE8E29CA2}"/>
</file>

<file path=docProps/app.xml><?xml version="1.0" encoding="utf-8"?>
<Properties xmlns="http://schemas.openxmlformats.org/officeDocument/2006/extended-properties" xmlns:vt="http://schemas.openxmlformats.org/officeDocument/2006/docPropsVTypes">
  <Company>TCU</Company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ROGERIO FAVRETO</dc:creator>
  <dc:description/>
  <dc:title>TRIBUNAL DE CONTAS DA UNIÃO</dc:title>
  <dcterms:created xsi:type="dcterms:W3CDTF">2024-03-13T20:49:40Z</dcterms:created>
  <dcterms:modified xsi:type="dcterms:W3CDTF">2024-03-13T20:49:40Z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2023-10-26T00:00:00Z</vt:filetime>
  </property>
  <property fmtid="{D5CDD505-2E9C-101B-9397-08002B2CF9AE}" pid="3" name="Creator">
    <vt:lpwstr>Acrobat PDFMaker 21 para Word</vt:lpwstr>
  </property>
  <property fmtid="{D5CDD505-2E9C-101B-9397-08002B2CF9AE}" pid="4" name="LastSaved">
    <vt:filetime>2024-03-13T00:00:00Z</vt:filetime>
  </property>
  <property fmtid="{D5CDD505-2E9C-101B-9397-08002B2CF9AE}" pid="5" name="Producer">
    <vt:lpwstr>Adobe PDF Library 21.1.167</vt:lpwstr>
  </property>
  <property fmtid="{D5CDD505-2E9C-101B-9397-08002B2CF9AE}" pid="6" name="SourceModified">
    <vt:lpwstr>D:20231026134446</vt:lpwstr>
  </property>
</Properties>
</file>