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CB" w:rsidRDefault="003245CB" w:rsidP="003245CB">
      <w:pPr>
        <w:widowControl w:val="0"/>
        <w:spacing w:line="360" w:lineRule="auto"/>
        <w:jc w:val="both"/>
        <w:rPr>
          <w:b/>
          <w:u w:val="single"/>
        </w:rPr>
      </w:pPr>
    </w:p>
    <w:p w:rsidR="003245CB" w:rsidRPr="003245CB" w:rsidRDefault="003245CB" w:rsidP="003245CB">
      <w:pPr>
        <w:widowControl w:val="0"/>
        <w:spacing w:line="360" w:lineRule="auto"/>
        <w:jc w:val="center"/>
        <w:rPr>
          <w:b/>
        </w:rPr>
      </w:pPr>
      <w:r>
        <w:rPr>
          <w:b/>
        </w:rPr>
        <w:t>ESTUDO TÉCNICO PRELIMINAR n. 02</w:t>
      </w:r>
      <w:r w:rsidR="00617C64">
        <w:rPr>
          <w:b/>
        </w:rPr>
        <w:t>6</w:t>
      </w:r>
      <w:r>
        <w:rPr>
          <w:b/>
        </w:rPr>
        <w:t>/2023</w:t>
      </w:r>
    </w:p>
    <w:p w:rsidR="003245CB" w:rsidRDefault="003245C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245CB" w:rsidRDefault="003245C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 - </w:t>
      </w:r>
      <w:r w:rsidR="00850275">
        <w:rPr>
          <w:b/>
          <w:bCs/>
        </w:rPr>
        <w:t>Introdução</w:t>
      </w:r>
      <w:r>
        <w:rPr>
          <w:b/>
          <w:bCs/>
        </w:rPr>
        <w:t>:</w:t>
      </w:r>
    </w:p>
    <w:p w:rsidR="003245CB" w:rsidRDefault="003245C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A </w:t>
      </w:r>
      <w:r w:rsidR="00617C64">
        <w:rPr>
          <w:bCs/>
        </w:rPr>
        <w:t xml:space="preserve">Sede do Tribunal de Justiça, bem como </w:t>
      </w:r>
      <w:r w:rsidR="000867AC">
        <w:rPr>
          <w:bCs/>
        </w:rPr>
        <w:t>a</w:t>
      </w:r>
      <w:r w:rsidR="00617C64">
        <w:rPr>
          <w:bCs/>
        </w:rPr>
        <w:t xml:space="preserve"> </w:t>
      </w:r>
      <w:r>
        <w:rPr>
          <w:bCs/>
        </w:rPr>
        <w:t>Comarca de Cuiabá</w:t>
      </w:r>
      <w:r w:rsidR="00617C64">
        <w:rPr>
          <w:bCs/>
        </w:rPr>
        <w:t xml:space="preserve"> e a Comarca de Várzea Grande,</w:t>
      </w:r>
      <w:r>
        <w:rPr>
          <w:bCs/>
        </w:rPr>
        <w:t xml:space="preserve"> entende</w:t>
      </w:r>
      <w:r w:rsidR="00617C64">
        <w:rPr>
          <w:bCs/>
        </w:rPr>
        <w:t xml:space="preserve">m como necessário </w:t>
      </w:r>
      <w:r w:rsidR="00617C64" w:rsidRPr="00617C64">
        <w:rPr>
          <w:bCs/>
        </w:rPr>
        <w:t>a contratação de empresa especializada no fornecimento de mudas de árvores, plantas ornamentais, grama esmeralda e insumos para realização de paisagismo e arborização</w:t>
      </w:r>
      <w:r>
        <w:rPr>
          <w:bCs/>
        </w:rPr>
        <w:t>.</w:t>
      </w:r>
    </w:p>
    <w:p w:rsidR="000867AC" w:rsidRDefault="00850275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ab/>
        <w:t>Visando as revitalizações paisagísticas dos espaços públicos, faz-se necessária a realização da presente contratação para atender a demanda existente atualmente.</w:t>
      </w:r>
    </w:p>
    <w:p w:rsidR="003245CB" w:rsidRDefault="003245C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II – </w:t>
      </w:r>
      <w:r w:rsidR="00850275">
        <w:rPr>
          <w:b/>
          <w:bCs/>
        </w:rPr>
        <w:t>Descrição da Necessidade</w:t>
      </w:r>
      <w:r>
        <w:rPr>
          <w:b/>
          <w:bCs/>
        </w:rPr>
        <w:t>:</w:t>
      </w:r>
    </w:p>
    <w:p w:rsidR="003245CB" w:rsidRDefault="003245C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="00850275">
        <w:t>Verificou-se a necessidade da revitalização dos espaços públicos, os quais se encontram com plantas perenes, sem a presença de flores anuais</w:t>
      </w:r>
      <w:r>
        <w:t>.</w:t>
      </w:r>
    </w:p>
    <w:p w:rsidR="003245CB" w:rsidRDefault="00850275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ab/>
        <w:t>Com a realização da contratação da compra das mudas de árvores, plantas ornamentais, grama e insumos, os espaços serão revitalizad</w:t>
      </w:r>
      <w:r w:rsidR="000867AC">
        <w:t>o</w:t>
      </w:r>
      <w:r>
        <w:t>s, gerando o embelezamento visual da paisagem, melhorando a estética dos espaços, bem como contribuindo com a qualidade de vida dos que frequentam estes espaços.</w:t>
      </w:r>
    </w:p>
    <w:p w:rsidR="000867AC" w:rsidRDefault="00740E9C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="0027738D">
        <w:t xml:space="preserve">A unidade demandante, diante da impossibilidade de atendimento por seus meios, pretende a presente contratação, visto a finalidade institucional alinhada com o interesse público. </w:t>
      </w:r>
    </w:p>
    <w:p w:rsidR="003245CB" w:rsidRDefault="003245C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III – Requisitos da Contratação:</w:t>
      </w:r>
    </w:p>
    <w:p w:rsidR="007D3F0B" w:rsidRDefault="007D3F0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="00850275">
        <w:t>As plantas</w:t>
      </w:r>
      <w:r w:rsidR="003F7154">
        <w:t xml:space="preserve"> e grama deverão estar em </w:t>
      </w:r>
      <w:proofErr w:type="gramStart"/>
      <w:r w:rsidR="003F7154">
        <w:t>ótimo vigor</w:t>
      </w:r>
      <w:proofErr w:type="gramEnd"/>
      <w:r w:rsidR="003F7154">
        <w:t xml:space="preserve"> e estado fitossanitário, não apresentando doença, e as mudas deverão ter no mínimo 30 cm de altura</w:t>
      </w:r>
      <w:r>
        <w:t>.</w:t>
      </w:r>
    </w:p>
    <w:p w:rsidR="0027738D" w:rsidRDefault="0027738D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>
        <w:tab/>
        <w:t>Devendo ser escolhida a solução capaz de atender à necessidade de forma eficiente, ponderando-se desde logo o estabelecimento de uma boa relação custo benefício.</w:t>
      </w:r>
    </w:p>
    <w:p w:rsidR="007D3F0B" w:rsidRDefault="007D3F0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IV – Estimativa das quantidades, acompanhadas das memórias de cálculo e dos documentos que lhe dão suporte:</w:t>
      </w:r>
    </w:p>
    <w:p w:rsidR="007D3F0B" w:rsidRDefault="007D3F0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3F7154">
        <w:rPr>
          <w:bCs/>
        </w:rPr>
        <w:t>Será necessária a aquisição para o fornecimento de mudas de plantas e insumos anualmente</w:t>
      </w:r>
      <w:r w:rsidR="000867AC">
        <w:rPr>
          <w:bCs/>
        </w:rPr>
        <w:t>, com a finalidade de atender aproximadamente 75 mil m² de área verde.</w:t>
      </w:r>
    </w:p>
    <w:p w:rsidR="007D3F0B" w:rsidRDefault="007D3F0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 xml:space="preserve">V – Levantamento de mercado e justificativa da escolha do tipo de solução a </w:t>
      </w:r>
      <w:r>
        <w:rPr>
          <w:b/>
          <w:bCs/>
        </w:rPr>
        <w:lastRenderedPageBreak/>
        <w:t>contratar:</w:t>
      </w:r>
    </w:p>
    <w:p w:rsidR="003F7154" w:rsidRDefault="007D3F0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3F7154">
        <w:rPr>
          <w:bCs/>
        </w:rPr>
        <w:t xml:space="preserve">Atualmente no mercado existem as opções de compra de sementes para a produção de mudas, aquisição de </w:t>
      </w:r>
      <w:proofErr w:type="spellStart"/>
      <w:r w:rsidR="003F7154">
        <w:rPr>
          <w:bCs/>
        </w:rPr>
        <w:t>plugs</w:t>
      </w:r>
      <w:proofErr w:type="spellEnd"/>
      <w:r w:rsidR="003F7154">
        <w:rPr>
          <w:bCs/>
        </w:rPr>
        <w:t xml:space="preserve"> em que as sementes já germinaram e estão na etapa da repicagem para a embalagem em que ficarão até atingirem as características para o plantio em local definitivo, e a compra de mudas prontas para o plantio em local definitivo.</w:t>
      </w:r>
    </w:p>
    <w:p w:rsidR="007D3F0B" w:rsidRDefault="003F7154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Devido à reduzida quantidade de mão de obra de jardinagem do Poder Judiciário, justifica-se a necessidade da compra de mudas prontas para o plantio, visto que para a realização do plantio de mudas, será necessário estipular o cronograma de atividades, para poder executar o serviço de acordo com a mão de obra reduzida.</w:t>
      </w:r>
    </w:p>
    <w:p w:rsidR="00740E9C" w:rsidRPr="00740E9C" w:rsidRDefault="000867AC" w:rsidP="00740E9C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740E9C" w:rsidRPr="00740E9C">
        <w:rPr>
          <w:bCs/>
        </w:rPr>
        <w:t>Será adotado o Sistema de Registro de Preços, haja vista a conveniência da prestação dos serviços com previsão de serem de forma parcelados conforme a necessidade, visando minimizar os riscos de desabastecimento e reduzir os custos necessários.  Pois, esse possui uma vasta gama de vantagens, principalmente ao permitir a evolução significativa do planejamento das atividades de infraestrutura da Administração</w:t>
      </w:r>
      <w:r w:rsidR="002A117A">
        <w:rPr>
          <w:bCs/>
        </w:rPr>
        <w:t>.</w:t>
      </w:r>
      <w:r w:rsidR="00740E9C" w:rsidRPr="00740E9C">
        <w:rPr>
          <w:bCs/>
        </w:rPr>
        <w:t xml:space="preserve"> </w:t>
      </w:r>
    </w:p>
    <w:p w:rsidR="00740E9C" w:rsidRPr="00740E9C" w:rsidRDefault="00740E9C" w:rsidP="00740E9C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740E9C">
        <w:rPr>
          <w:bCs/>
        </w:rPr>
        <w:t xml:space="preserve">Ademais, a opção pelo Sistema de Registro de Preço originário de Pregão Eletrônico, é a mais viável, pois possui características vantajosas para a administração pública, </w:t>
      </w:r>
      <w:r w:rsidR="002A117A" w:rsidRPr="00740E9C">
        <w:rPr>
          <w:bCs/>
        </w:rPr>
        <w:t>por exemplo,</w:t>
      </w:r>
      <w:r w:rsidRPr="00740E9C">
        <w:rPr>
          <w:bCs/>
        </w:rPr>
        <w:t xml:space="preserve"> o fato da existência de facultatividade na contratação dos serviços do objeto licitado, sendo assim, a Administração tem a discricionariedade de agir conforme suas necessidades, podendo flexibilizar suas despesas, com a devida adequação aos recursos disponíveis. </w:t>
      </w:r>
      <w:bookmarkStart w:id="0" w:name="_GoBack"/>
      <w:bookmarkEnd w:id="0"/>
    </w:p>
    <w:p w:rsidR="00740E9C" w:rsidRDefault="00740E9C" w:rsidP="00740E9C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740E9C">
        <w:rPr>
          <w:bCs/>
        </w:rPr>
        <w:t>Nesse sentido, justifica-se ainda a motivação para utilização do Sistema de Registro de Preços em razão da demanda ser eventual e futura, sendo utilizado o registro de acordo com a necessidade dos serviços demandados, levando em consideração o desgaste natural. Outro ponto que merece destaque é o emprego de recursos financeiros somente para o atendimento imediato da demanda.</w:t>
      </w:r>
    </w:p>
    <w:p w:rsidR="007D3F0B" w:rsidRDefault="007D3F0B" w:rsidP="00740E9C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VI – Estimativas de preços ou preços referenciais:</w:t>
      </w:r>
    </w:p>
    <w:p w:rsidR="006C421E" w:rsidRDefault="003F7154" w:rsidP="003F715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740E9C" w:rsidRPr="00101BFE">
        <w:t xml:space="preserve">O preço estimado da contratação foi obtido através de Mapa Comparativo de Preços, levando-se em consideração as pesquisas junto ao mercado, conforme </w:t>
      </w:r>
      <w:r w:rsidR="00740E9C" w:rsidRPr="00101BFE">
        <w:t xml:space="preserve">cotações </w:t>
      </w:r>
      <w:r w:rsidR="00740E9C" w:rsidRPr="00101BFE">
        <w:lastRenderedPageBreak/>
        <w:t>encaminhadas</w:t>
      </w:r>
      <w:r w:rsidR="00740E9C" w:rsidRPr="00101BFE">
        <w:t xml:space="preserve"> por empresas desse ramo de atividade</w:t>
      </w:r>
      <w:r>
        <w:rPr>
          <w:bCs/>
        </w:rPr>
        <w:t>, com diferentes empresas, tanto viveiros quanto floriculturas, seguindo em anexo os orçamentos recebidos.</w:t>
      </w:r>
    </w:p>
    <w:p w:rsidR="006C421E" w:rsidRDefault="000867AC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Levou-se em consideração para estimativa de preço, a quantidade de metros quadrados de áreas verdes das unidades demandantes, que juntas somam aproximadamente 75 (setenta e cinco) mil m².</w:t>
      </w:r>
    </w:p>
    <w:p w:rsidR="00740E9C" w:rsidRDefault="0027738D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Buscou-se aqui, verificar se há disponibilidade de recursos financeiros para custear a contratação, bem como uma análise preliminar quanto à sua eficiência, mediante uma ponderação entre custo do objeto a ser contratado e o benefício a ser auferido pela entidade.</w:t>
      </w:r>
    </w:p>
    <w:p w:rsidR="006C421E" w:rsidRDefault="006C421E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VII – Descrição da solução como um todo:</w:t>
      </w:r>
    </w:p>
    <w:p w:rsidR="006C421E" w:rsidRDefault="006C421E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3F7154">
        <w:rPr>
          <w:bCs/>
        </w:rPr>
        <w:t xml:space="preserve">A aquisição de mudas prontas para o plantio justifica-se ser a melhor opção no momento e solução para a execução do projeto de revitalização dos espaços públicos, devido </w:t>
      </w:r>
      <w:r w:rsidR="002A117A">
        <w:rPr>
          <w:bCs/>
        </w:rPr>
        <w:t>à</w:t>
      </w:r>
      <w:r w:rsidR="003F7154">
        <w:rPr>
          <w:bCs/>
        </w:rPr>
        <w:t xml:space="preserve"> reduzida quantida</w:t>
      </w:r>
      <w:r w:rsidR="008A0799">
        <w:rPr>
          <w:bCs/>
        </w:rPr>
        <w:t>de de mão de obra de jardinagem</w:t>
      </w:r>
      <w:r>
        <w:rPr>
          <w:bCs/>
        </w:rPr>
        <w:t>.</w:t>
      </w:r>
    </w:p>
    <w:p w:rsidR="006C421E" w:rsidRDefault="006C421E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VIII – Justificativas para o parcelamento ou não da solução quando necessária para individualização do objeto:</w:t>
      </w:r>
    </w:p>
    <w:p w:rsidR="006C421E" w:rsidRDefault="006C421E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8A0799">
        <w:rPr>
          <w:bCs/>
        </w:rPr>
        <w:t xml:space="preserve">Como o montante total de mudas apresentado nos orçamentos será dividido em cronogramas mensais, as mudas e insumos serão </w:t>
      </w:r>
      <w:proofErr w:type="gramStart"/>
      <w:r w:rsidR="008A0799">
        <w:rPr>
          <w:bCs/>
        </w:rPr>
        <w:t>solicitadas</w:t>
      </w:r>
      <w:proofErr w:type="gramEnd"/>
      <w:r w:rsidR="008A0799">
        <w:rPr>
          <w:bCs/>
        </w:rPr>
        <w:t xml:space="preserve"> de acordo com as atividades propostas no cronograma, sendo solicitado recibo das mudas recebidas pelas unidades para poster</w:t>
      </w:r>
      <w:r w:rsidR="002A117A">
        <w:rPr>
          <w:bCs/>
        </w:rPr>
        <w:t>ior pagamento pelas mesmas, analisado as peculiaridades do mercado em vista da economia de escala, sem perda da qualidade o parcelamento confronta o ganho obtido com a economia de escala.</w:t>
      </w:r>
    </w:p>
    <w:p w:rsidR="000867AC" w:rsidRDefault="000867AC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Nesse diapasão, a contratação de pequenas empresas, com o intuito de incentivar o desenvolvimento das mesmas, não representará, necessariamente, o alcance dos melhores resultados na prestação do serviço público, sobretudo pelo fato de que a necessidade pública pode ser complexa e exigir a estruturação tecnológica adequada do empresário para satisfação da demanda.</w:t>
      </w:r>
    </w:p>
    <w:p w:rsidR="006C421E" w:rsidRDefault="002A117A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0867AC">
        <w:rPr>
          <w:bCs/>
        </w:rPr>
        <w:t xml:space="preserve">Não é demais relembrar que a Licitação Pública deve ser realizada em proveito da Administração Pública e não com o intuito de financiar o desenvolvimento de determinado segmento empresarial, posto que não se </w:t>
      </w:r>
      <w:proofErr w:type="gramStart"/>
      <w:r w:rsidR="000867AC">
        <w:rPr>
          <w:bCs/>
        </w:rPr>
        <w:t>trata</w:t>
      </w:r>
      <w:proofErr w:type="gramEnd"/>
      <w:r w:rsidR="000867AC">
        <w:rPr>
          <w:bCs/>
        </w:rPr>
        <w:t xml:space="preserve"> de instrumento adequado para o fomento de atividades particulares.</w:t>
      </w:r>
    </w:p>
    <w:p w:rsidR="006C421E" w:rsidRDefault="006C421E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IX – Demonstrativo dos resultados pretendidos em termos de economicidade e de melhor aproveitamento dos recursos humanos, materiais ou financeiros disponíveis:</w:t>
      </w:r>
    </w:p>
    <w:p w:rsidR="006C421E" w:rsidRDefault="006C421E" w:rsidP="008A079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="008A0799">
        <w:rPr>
          <w:bCs/>
        </w:rPr>
        <w:t>Com o projeto de revitalização paisagística dos espaços, buscou-se a melhor opção com um menor preço para a execução do mesmo. Tendo sempre em mente a questão da reduzida mão de obra para a execução do projeto, e com isso a aquisição de mudas prontas para o plantio no momento apresenta-se como a opção para atendermos a demanda existente da melhor forma e realizarmos o plantio das mudas e gramas nos espaços planejados</w:t>
      </w:r>
      <w:r w:rsidR="005C3088">
        <w:rPr>
          <w:bCs/>
        </w:rPr>
        <w:t>.</w:t>
      </w:r>
    </w:p>
    <w:p w:rsidR="002A117A" w:rsidRPr="002A117A" w:rsidRDefault="002A117A" w:rsidP="002A117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2A117A">
        <w:rPr>
          <w:bCs/>
        </w:rPr>
        <w:t>A adoção do critério de julgamento de menor preço por lote somente deve ser adotado quando for demonstrada inviabilidade de promover a adjudicação por item e evidenciadas fortes razões que demonstrem ser esse o critério que conduzirá a contratações economicamente mais vantajosas.</w:t>
      </w:r>
    </w:p>
    <w:p w:rsidR="002A117A" w:rsidRPr="002A117A" w:rsidRDefault="002A117A" w:rsidP="002A117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2A117A">
        <w:rPr>
          <w:bCs/>
        </w:rPr>
        <w:t xml:space="preserve">Outra questão a ser tratada na formação do lote é que os itens que irão compô-lo necessitam ter a mesma natureza, bem como guardar relação entre si, inclusive quanto aos seus fornecedores. </w:t>
      </w:r>
    </w:p>
    <w:p w:rsidR="002A117A" w:rsidRDefault="002A117A" w:rsidP="002A117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2A117A">
        <w:rPr>
          <w:bCs/>
        </w:rPr>
        <w:t>Logo se vê que o legislador impôs duas condicionantes à realização do parcelamento do objeto: viabilidade técnica e vantagem econômica. Claro, a escolha do objeto tem por meta solucionar da forma mais adequada possível a necessidade administrativa, sob os aspectos técnico e econômico. Assim, o parcelamento não pode vir a prejudicar esta finalidade, mas ajudar a alcançá-la.</w:t>
      </w:r>
    </w:p>
    <w:p w:rsidR="005C3088" w:rsidRDefault="005C3088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X – Providências para adequação do ambiente do órgão:</w:t>
      </w:r>
    </w:p>
    <w:p w:rsidR="005C3088" w:rsidRDefault="005C3088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8A0799">
        <w:rPr>
          <w:bCs/>
        </w:rPr>
        <w:t>Antes da etapa do plantio das flores nos espaços, algumas intervenções serão necessárias, para isso será necessário mão de obra e maquinário específico para a execução do serviço, o qual será realizado por parte de empresa terceirizada já existente</w:t>
      </w:r>
      <w:r>
        <w:rPr>
          <w:bCs/>
        </w:rPr>
        <w:t>.</w:t>
      </w:r>
    </w:p>
    <w:p w:rsidR="005C3088" w:rsidRDefault="005C3088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XI – Contratações correlatas e/ou interdependentes:</w:t>
      </w:r>
    </w:p>
    <w:p w:rsidR="008A0799" w:rsidRDefault="005C3088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 xml:space="preserve">Não há contratações correlatas e interdependentes geradas pela contratação em comento. </w:t>
      </w:r>
    </w:p>
    <w:p w:rsidR="008A0799" w:rsidRDefault="008A0799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XII – </w:t>
      </w:r>
      <w:r w:rsidRPr="008A0799">
        <w:rPr>
          <w:b/>
          <w:bCs/>
        </w:rPr>
        <w:t>Impactos Ambientais</w:t>
      </w:r>
    </w:p>
    <w:p w:rsidR="005C3088" w:rsidRDefault="008A0799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 xml:space="preserve">Com esse projeto terá o impacto visual do ambiente, melhorando a estética do local, </w:t>
      </w:r>
      <w:r>
        <w:rPr>
          <w:bCs/>
        </w:rPr>
        <w:lastRenderedPageBreak/>
        <w:t>porém não será causado impacto ambiental.</w:t>
      </w:r>
    </w:p>
    <w:p w:rsidR="005C3088" w:rsidRDefault="005C3088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XI</w:t>
      </w:r>
      <w:r w:rsidR="007A42A1">
        <w:rPr>
          <w:b/>
          <w:bCs/>
        </w:rPr>
        <w:t>I</w:t>
      </w:r>
      <w:r>
        <w:rPr>
          <w:b/>
          <w:bCs/>
        </w:rPr>
        <w:t>I – Declaração da viabilidade ou não da contratação:</w:t>
      </w:r>
    </w:p>
    <w:p w:rsidR="005C3088" w:rsidRDefault="005C3088" w:rsidP="008A079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8A0799">
        <w:rPr>
          <w:bCs/>
        </w:rPr>
        <w:t>Torna-se viável a contratação da aquisição de plantas e insumos para a revitalização dos espaços públicos, pois sem as plantas a revitalização dos espaços não poderá ser realizada, visto a reduzida mão de obra para cultivo em viveiro</w:t>
      </w:r>
      <w:r>
        <w:rPr>
          <w:bCs/>
        </w:rPr>
        <w:t>.</w:t>
      </w:r>
    </w:p>
    <w:p w:rsidR="008A0799" w:rsidRPr="006C421E" w:rsidRDefault="008A0799" w:rsidP="008A079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  <w:t>Este projeto vai de encontro com o bem estar dos magistrados, servidores e público em geral, a qual merece ter espaços limpos, floridos, amplos, seguros para uma melhor qualidade de vida.</w:t>
      </w:r>
    </w:p>
    <w:p w:rsidR="007D3F0B" w:rsidRDefault="007D3F0B" w:rsidP="003245CB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245CB" w:rsidRPr="000A7AD4" w:rsidRDefault="003245CB" w:rsidP="003245CB">
      <w:pPr>
        <w:widowControl w:val="0"/>
        <w:autoSpaceDE w:val="0"/>
        <w:autoSpaceDN w:val="0"/>
        <w:adjustRightInd w:val="0"/>
        <w:spacing w:line="360" w:lineRule="auto"/>
        <w:jc w:val="right"/>
        <w:rPr>
          <w:lang w:val="es-ES_tradnl"/>
        </w:rPr>
      </w:pPr>
      <w:r w:rsidRPr="000A7AD4">
        <w:rPr>
          <w:lang w:val="es-ES_tradnl"/>
        </w:rPr>
        <w:t xml:space="preserve">Cuiabá, </w:t>
      </w:r>
      <w:r w:rsidR="008A0799">
        <w:rPr>
          <w:lang w:val="es-ES_tradnl"/>
        </w:rPr>
        <w:t>1</w:t>
      </w:r>
      <w:r w:rsidR="000867AC">
        <w:rPr>
          <w:lang w:val="es-ES_tradnl"/>
        </w:rPr>
        <w:t>9</w:t>
      </w:r>
      <w:r w:rsidRPr="000A7AD4">
        <w:rPr>
          <w:lang w:val="es-ES_tradnl"/>
        </w:rPr>
        <w:t xml:space="preserve"> de </w:t>
      </w:r>
      <w:r w:rsidR="000867AC">
        <w:rPr>
          <w:lang w:val="es-ES_tradnl"/>
        </w:rPr>
        <w:t>Janeiro</w:t>
      </w:r>
      <w:r w:rsidRPr="000A7AD4">
        <w:rPr>
          <w:lang w:val="es-ES_tradnl"/>
        </w:rPr>
        <w:t xml:space="preserve"> de 202</w:t>
      </w:r>
      <w:r w:rsidR="000867AC">
        <w:rPr>
          <w:lang w:val="es-ES_tradnl"/>
        </w:rPr>
        <w:t>4</w:t>
      </w:r>
    </w:p>
    <w:p w:rsidR="003245CB" w:rsidRDefault="003245CB" w:rsidP="003245CB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s-ES_tradnl"/>
        </w:rPr>
      </w:pPr>
    </w:p>
    <w:p w:rsidR="007A42A1" w:rsidRDefault="007A42A1" w:rsidP="003245CB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s-ES_tradnl"/>
        </w:rPr>
      </w:pPr>
    </w:p>
    <w:p w:rsidR="003245CB" w:rsidRDefault="003245CB" w:rsidP="003245CB">
      <w:pPr>
        <w:widowControl w:val="0"/>
        <w:tabs>
          <w:tab w:val="left" w:pos="2520"/>
        </w:tabs>
        <w:jc w:val="center"/>
        <w:rPr>
          <w:b/>
          <w:lang w:val="es-ES_tradnl"/>
        </w:rPr>
      </w:pPr>
      <w:r w:rsidRPr="000A7AD4">
        <w:rPr>
          <w:b/>
          <w:lang w:val="es-ES_tradnl"/>
        </w:rPr>
        <w:t xml:space="preserve">Roberto </w:t>
      </w:r>
      <w:proofErr w:type="spellStart"/>
      <w:r w:rsidRPr="000A7AD4">
        <w:rPr>
          <w:b/>
          <w:lang w:val="es-ES_tradnl"/>
        </w:rPr>
        <w:t>Cyríaco</w:t>
      </w:r>
      <w:proofErr w:type="spellEnd"/>
      <w:r w:rsidRPr="000A7AD4">
        <w:rPr>
          <w:b/>
          <w:lang w:val="es-ES_tradnl"/>
        </w:rPr>
        <w:t xml:space="preserve"> da Silva</w:t>
      </w:r>
    </w:p>
    <w:p w:rsidR="005C3088" w:rsidRPr="000A7AD4" w:rsidRDefault="005C3088" w:rsidP="003245CB">
      <w:pPr>
        <w:widowControl w:val="0"/>
        <w:tabs>
          <w:tab w:val="left" w:pos="2520"/>
        </w:tabs>
        <w:jc w:val="center"/>
        <w:rPr>
          <w:b/>
          <w:lang w:val="es-ES_tradnl"/>
        </w:rPr>
      </w:pPr>
    </w:p>
    <w:p w:rsidR="003245CB" w:rsidRPr="000A7AD4" w:rsidRDefault="003245CB" w:rsidP="003245CB">
      <w:pPr>
        <w:widowControl w:val="0"/>
        <w:tabs>
          <w:tab w:val="left" w:pos="2520"/>
        </w:tabs>
        <w:jc w:val="center"/>
        <w:rPr>
          <w:lang w:val="es-ES_tradnl"/>
        </w:rPr>
      </w:pPr>
      <w:proofErr w:type="spellStart"/>
      <w:r w:rsidRPr="000A7AD4">
        <w:rPr>
          <w:b/>
          <w:lang w:val="es-ES_tradnl"/>
        </w:rPr>
        <w:t>Coordenador</w:t>
      </w:r>
      <w:proofErr w:type="spellEnd"/>
      <w:r w:rsidRPr="000A7AD4">
        <w:rPr>
          <w:b/>
          <w:lang w:val="es-ES_tradnl"/>
        </w:rPr>
        <w:t xml:space="preserve"> de </w:t>
      </w:r>
      <w:proofErr w:type="spellStart"/>
      <w:r w:rsidRPr="000A7AD4">
        <w:rPr>
          <w:b/>
          <w:lang w:val="es-ES_tradnl"/>
        </w:rPr>
        <w:t>Infraestrutura</w:t>
      </w:r>
      <w:proofErr w:type="spellEnd"/>
    </w:p>
    <w:p w:rsidR="003245CB" w:rsidRDefault="003245CB" w:rsidP="003245CB">
      <w:pPr>
        <w:widowControl w:val="0"/>
        <w:tabs>
          <w:tab w:val="left" w:pos="2520"/>
        </w:tabs>
        <w:jc w:val="center"/>
        <w:rPr>
          <w:lang w:val="es-ES_tradnl"/>
        </w:rPr>
      </w:pPr>
    </w:p>
    <w:p w:rsidR="005C3088" w:rsidRDefault="005C3088" w:rsidP="003245CB">
      <w:pPr>
        <w:widowControl w:val="0"/>
        <w:tabs>
          <w:tab w:val="left" w:pos="2520"/>
        </w:tabs>
        <w:jc w:val="center"/>
        <w:rPr>
          <w:lang w:val="es-ES_tradnl"/>
        </w:rPr>
      </w:pPr>
    </w:p>
    <w:p w:rsidR="00150630" w:rsidRDefault="00150630"/>
    <w:sectPr w:rsidR="001506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F7" w:rsidRDefault="007A42A1">
      <w:r>
        <w:separator/>
      </w:r>
    </w:p>
  </w:endnote>
  <w:endnote w:type="continuationSeparator" w:id="0">
    <w:p w:rsidR="004D3AF7" w:rsidRDefault="007A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F7" w:rsidRDefault="007A42A1">
      <w:r>
        <w:separator/>
      </w:r>
    </w:p>
  </w:footnote>
  <w:footnote w:type="continuationSeparator" w:id="0">
    <w:p w:rsidR="004D3AF7" w:rsidRDefault="007A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2" w:rsidRDefault="00B64A8A" w:rsidP="000A7AD4">
    <w:pPr>
      <w:pStyle w:val="Cabealho"/>
    </w:pPr>
  </w:p>
  <w:tbl>
    <w:tblPr>
      <w:tblW w:w="9880" w:type="dxa"/>
      <w:jc w:val="center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</w:tblBorders>
      <w:tblLook w:val="00A0" w:firstRow="1" w:lastRow="0" w:firstColumn="1" w:lastColumn="0" w:noHBand="0" w:noVBand="0"/>
    </w:tblPr>
    <w:tblGrid>
      <w:gridCol w:w="2543"/>
      <w:gridCol w:w="7337"/>
    </w:tblGrid>
    <w:tr w:rsidR="00625CD2" w:rsidRPr="00A00048" w:rsidTr="002809EA">
      <w:trPr>
        <w:jc w:val="center"/>
      </w:trPr>
      <w:tc>
        <w:tcPr>
          <w:tcW w:w="2543" w:type="dxa"/>
          <w:tcBorders>
            <w:top w:val="single" w:sz="4" w:space="0" w:color="FFFFFF"/>
            <w:bottom w:val="single" w:sz="4" w:space="0" w:color="000000"/>
            <w:right w:val="single" w:sz="4" w:space="0" w:color="FFFFFF"/>
          </w:tcBorders>
          <w:tcMar>
            <w:left w:w="108" w:type="dxa"/>
            <w:right w:w="108" w:type="dxa"/>
          </w:tcMar>
        </w:tcPr>
        <w:p w:rsidR="00625CD2" w:rsidRPr="00A00048" w:rsidRDefault="007A42A1" w:rsidP="002809EA">
          <w:pPr>
            <w:autoSpaceDE w:val="0"/>
            <w:autoSpaceDN w:val="0"/>
            <w:adjustRightInd w:val="0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1CA2D56" wp14:editId="743A3C97">
                <wp:extent cx="723265" cy="683895"/>
                <wp:effectExtent l="0" t="0" r="635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5CD2" w:rsidRPr="00A00048" w:rsidRDefault="007A42A1" w:rsidP="002809EA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000000"/>
            </w:rPr>
          </w:pPr>
          <w:r w:rsidRPr="00A00048">
            <w:rPr>
              <w:rFonts w:ascii="Calibri" w:hAnsi="Calibri" w:cs="Calibri"/>
              <w:b/>
              <w:bCs/>
              <w:color w:val="000000"/>
            </w:rPr>
            <w:t>Tribunal de Justiça</w:t>
          </w:r>
        </w:p>
        <w:p w:rsidR="00625CD2" w:rsidRPr="00A00048" w:rsidRDefault="007A42A1" w:rsidP="002809EA">
          <w:pPr>
            <w:autoSpaceDE w:val="0"/>
            <w:autoSpaceDN w:val="0"/>
            <w:adjustRightInd w:val="0"/>
            <w:jc w:val="center"/>
            <w:rPr>
              <w:rFonts w:ascii="Century Gothic" w:hAnsi="Century Gothic" w:cs="Century Gothic"/>
              <w:b/>
              <w:bCs/>
              <w:color w:val="000000"/>
            </w:rPr>
          </w:pPr>
          <w:r w:rsidRPr="00A00048">
            <w:rPr>
              <w:rFonts w:ascii="Century Gothic" w:hAnsi="Century Gothic" w:cs="Century Gothic"/>
              <w:b/>
              <w:bCs/>
              <w:color w:val="000000"/>
            </w:rPr>
            <w:t>Mato Grosso</w:t>
          </w:r>
        </w:p>
      </w:tc>
      <w:tc>
        <w:tcPr>
          <w:tcW w:w="7337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625CD2" w:rsidRPr="00A00048" w:rsidRDefault="007A42A1" w:rsidP="002809EA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 Gothic"/>
              <w:color w:val="000000"/>
            </w:rPr>
          </w:pPr>
          <w:r w:rsidRPr="00A00048">
            <w:rPr>
              <w:rFonts w:ascii="Century Gothic" w:hAnsi="Century Gothic" w:cs="Century Gothic"/>
              <w:color w:val="000000"/>
            </w:rPr>
            <w:t>Tribunal de Justiça do Estado de Mato Grosso</w:t>
          </w:r>
        </w:p>
        <w:p w:rsidR="00625CD2" w:rsidRPr="00A00048" w:rsidRDefault="007A42A1" w:rsidP="002809E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t>Coordenadoria de Infraestrutura</w:t>
          </w:r>
        </w:p>
        <w:p w:rsidR="00625CD2" w:rsidRPr="00A00048" w:rsidRDefault="007A42A1" w:rsidP="002809E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</w:rPr>
          </w:pPr>
          <w:r w:rsidRPr="00A00048">
            <w:rPr>
              <w:rFonts w:ascii="Calibri" w:hAnsi="Calibri" w:cs="Calibri"/>
              <w:color w:val="000000"/>
            </w:rPr>
            <w:t xml:space="preserve">Telefone: </w:t>
          </w:r>
          <w:r>
            <w:rPr>
              <w:rFonts w:ascii="Calibri" w:hAnsi="Calibri" w:cs="Calibri"/>
              <w:color w:val="000000"/>
            </w:rPr>
            <w:t>65-</w:t>
          </w:r>
          <w:r w:rsidRPr="00A00048">
            <w:rPr>
              <w:rFonts w:ascii="Calibri" w:hAnsi="Calibri" w:cs="Calibri"/>
              <w:color w:val="000000"/>
            </w:rPr>
            <w:t>36</w:t>
          </w:r>
          <w:r>
            <w:rPr>
              <w:rFonts w:ascii="Calibri" w:hAnsi="Calibri" w:cs="Calibri"/>
              <w:color w:val="000000"/>
            </w:rPr>
            <w:t>17</w:t>
          </w:r>
          <w:r w:rsidRPr="00A00048">
            <w:rPr>
              <w:rFonts w:ascii="Calibri" w:hAnsi="Calibri" w:cs="Calibri"/>
              <w:color w:val="000000"/>
            </w:rPr>
            <w:t>-</w:t>
          </w:r>
          <w:r>
            <w:rPr>
              <w:rFonts w:ascii="Calibri" w:hAnsi="Calibri" w:cs="Calibri"/>
              <w:color w:val="000000"/>
            </w:rPr>
            <w:t>3568</w:t>
          </w:r>
        </w:p>
        <w:p w:rsidR="00625CD2" w:rsidRPr="00A00048" w:rsidRDefault="007A42A1" w:rsidP="002809EA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</w:rPr>
          </w:pPr>
          <w:proofErr w:type="gramStart"/>
          <w:r w:rsidRPr="00A00048">
            <w:rPr>
              <w:rFonts w:ascii="Calibri" w:hAnsi="Calibri" w:cs="Calibri"/>
              <w:color w:val="000000"/>
            </w:rPr>
            <w:t>e-mail</w:t>
          </w:r>
          <w:proofErr w:type="gramEnd"/>
          <w:r w:rsidRPr="00A00048">
            <w:rPr>
              <w:rFonts w:ascii="Calibri" w:hAnsi="Calibri" w:cs="Calibri"/>
              <w:color w:val="000000"/>
            </w:rPr>
            <w:t>:</w:t>
          </w:r>
          <w:r>
            <w:rPr>
              <w:rFonts w:ascii="Calibri" w:hAnsi="Calibri" w:cs="Calibri"/>
              <w:color w:val="000000"/>
            </w:rPr>
            <w:t xml:space="preserve"> coordenadoria.infraestrutura@tjmt.jus.br</w:t>
          </w:r>
        </w:p>
      </w:tc>
    </w:tr>
  </w:tbl>
  <w:p w:rsidR="00625CD2" w:rsidRDefault="00B64A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DC4"/>
    <w:multiLevelType w:val="hybridMultilevel"/>
    <w:tmpl w:val="1DA0F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40F2"/>
    <w:multiLevelType w:val="hybridMultilevel"/>
    <w:tmpl w:val="985EE4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CB"/>
    <w:rsid w:val="000867AC"/>
    <w:rsid w:val="00150630"/>
    <w:rsid w:val="0027738D"/>
    <w:rsid w:val="002A117A"/>
    <w:rsid w:val="003245CB"/>
    <w:rsid w:val="00372D05"/>
    <w:rsid w:val="003F7154"/>
    <w:rsid w:val="004D3AF7"/>
    <w:rsid w:val="005C3088"/>
    <w:rsid w:val="00617C64"/>
    <w:rsid w:val="006C421E"/>
    <w:rsid w:val="00740E9C"/>
    <w:rsid w:val="007A42A1"/>
    <w:rsid w:val="007D3F0B"/>
    <w:rsid w:val="00823CF9"/>
    <w:rsid w:val="00850275"/>
    <w:rsid w:val="008A0799"/>
    <w:rsid w:val="009E1D98"/>
    <w:rsid w:val="00B64A8A"/>
    <w:rsid w:val="00C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5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5C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245C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4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5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324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45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4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5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5C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245C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4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5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324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45C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3C1AE-D8AA-4722-A674-E3F6187DC05B}"/>
</file>

<file path=customXml/itemProps2.xml><?xml version="1.0" encoding="utf-8"?>
<ds:datastoreItem xmlns:ds="http://schemas.openxmlformats.org/officeDocument/2006/customXml" ds:itemID="{AF99D9EA-F7D5-4799-B198-FDF5EAED0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Cesar de Araujo Vieira</dc:creator>
  <cp:lastModifiedBy>Murilo Cesar de Araujo Vieira</cp:lastModifiedBy>
  <cp:revision>2</cp:revision>
  <dcterms:created xsi:type="dcterms:W3CDTF">2024-01-19T14:23:00Z</dcterms:created>
  <dcterms:modified xsi:type="dcterms:W3CDTF">2024-01-19T14:23:00Z</dcterms:modified>
</cp:coreProperties>
</file>